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E795" w14:textId="77777777" w:rsidR="003E53BF" w:rsidRDefault="003E53BF" w:rsidP="00806EF2">
      <w:pPr>
        <w:pStyle w:val="Filenameandpath"/>
      </w:pPr>
    </w:p>
    <w:p w14:paraId="07DCF502" w14:textId="14A3D85F" w:rsidR="003E53BF" w:rsidRDefault="00CC4C06">
      <w:pPr>
        <w:pStyle w:val="Title"/>
      </w:pPr>
      <w:r>
        <w:t xml:space="preserve">Audit and Risk Assurance </w:t>
      </w:r>
      <w:r w:rsidR="00A17ED6">
        <w:t xml:space="preserve">Committee </w:t>
      </w:r>
      <w:r>
        <w:t>(ARAC)</w:t>
      </w:r>
    </w:p>
    <w:p w14:paraId="42AFF1D8" w14:textId="77777777" w:rsidR="003E53BF" w:rsidRDefault="003E53BF">
      <w:pPr>
        <w:pStyle w:val="Header"/>
        <w:tabs>
          <w:tab w:val="clear" w:pos="4320"/>
          <w:tab w:val="clear" w:pos="8640"/>
        </w:tabs>
        <w:spacing w:line="240" w:lineRule="auto"/>
        <w:rPr>
          <w:sz w:val="16"/>
        </w:rPr>
      </w:pPr>
    </w:p>
    <w:p w14:paraId="72DDB412" w14:textId="76104EB2" w:rsidR="003E53BF" w:rsidRDefault="003E53BF" w:rsidP="006C77EB">
      <w:pPr>
        <w:tabs>
          <w:tab w:val="left" w:pos="2410"/>
          <w:tab w:val="left" w:pos="4267"/>
          <w:tab w:val="left" w:pos="6379"/>
        </w:tabs>
        <w:rPr>
          <w:szCs w:val="32"/>
        </w:rPr>
      </w:pPr>
      <w:r w:rsidRPr="003E53BF">
        <w:rPr>
          <w:b/>
          <w:bCs/>
          <w:szCs w:val="32"/>
        </w:rPr>
        <w:t>Date:</w:t>
      </w:r>
      <w:r w:rsidRPr="001954F3">
        <w:rPr>
          <w:b/>
          <w:szCs w:val="32"/>
        </w:rPr>
        <w:tab/>
      </w:r>
      <w:r w:rsidR="00E71AD6">
        <w:rPr>
          <w:szCs w:val="32"/>
        </w:rPr>
        <w:t>19 October</w:t>
      </w:r>
      <w:r w:rsidR="002828E9">
        <w:rPr>
          <w:szCs w:val="32"/>
        </w:rPr>
        <w:t xml:space="preserve"> 2023</w:t>
      </w:r>
    </w:p>
    <w:p w14:paraId="3E52171E" w14:textId="77777777" w:rsidR="003E53BF" w:rsidRDefault="003E53BF" w:rsidP="003E53BF">
      <w:pPr>
        <w:tabs>
          <w:tab w:val="left" w:pos="1985"/>
          <w:tab w:val="left" w:pos="4267"/>
          <w:tab w:val="left" w:pos="6379"/>
        </w:tabs>
        <w:rPr>
          <w:szCs w:val="32"/>
        </w:rPr>
      </w:pPr>
    </w:p>
    <w:p w14:paraId="6E4DA80C" w14:textId="55C14505" w:rsidR="003E53BF" w:rsidRDefault="003E53BF" w:rsidP="006C77EB">
      <w:pPr>
        <w:tabs>
          <w:tab w:val="left" w:pos="2410"/>
          <w:tab w:val="left" w:pos="4267"/>
          <w:tab w:val="left" w:pos="6379"/>
        </w:tabs>
        <w:rPr>
          <w:szCs w:val="32"/>
        </w:rPr>
      </w:pPr>
      <w:r w:rsidRPr="003E53BF">
        <w:rPr>
          <w:b/>
          <w:bCs/>
          <w:szCs w:val="32"/>
        </w:rPr>
        <w:t>Paper reference:</w:t>
      </w:r>
      <w:r w:rsidR="006C77EB">
        <w:rPr>
          <w:b/>
          <w:szCs w:val="32"/>
        </w:rPr>
        <w:tab/>
      </w:r>
      <w:r w:rsidR="003634DE" w:rsidRPr="003634DE">
        <w:rPr>
          <w:bCs/>
          <w:szCs w:val="32"/>
        </w:rPr>
        <w:t xml:space="preserve">AUD </w:t>
      </w:r>
      <w:r w:rsidR="001C3B51">
        <w:rPr>
          <w:bCs/>
          <w:szCs w:val="32"/>
        </w:rPr>
        <w:t>34/23</w:t>
      </w:r>
    </w:p>
    <w:p w14:paraId="3434BF82" w14:textId="77777777" w:rsidR="003E53BF" w:rsidRDefault="003E53BF" w:rsidP="003E53BF">
      <w:pPr>
        <w:tabs>
          <w:tab w:val="left" w:pos="1985"/>
          <w:tab w:val="left" w:pos="4267"/>
          <w:tab w:val="left" w:pos="6379"/>
        </w:tabs>
        <w:rPr>
          <w:szCs w:val="32"/>
        </w:rPr>
      </w:pPr>
    </w:p>
    <w:p w14:paraId="66A3AE79" w14:textId="608FA5E8" w:rsidR="003E53BF" w:rsidRPr="003E53BF" w:rsidRDefault="003E53BF" w:rsidP="006C77EB">
      <w:pPr>
        <w:tabs>
          <w:tab w:val="left" w:pos="2410"/>
          <w:tab w:val="left" w:pos="4267"/>
          <w:tab w:val="left" w:pos="6379"/>
        </w:tabs>
        <w:rPr>
          <w:b/>
          <w:bCs/>
          <w:szCs w:val="32"/>
        </w:rPr>
      </w:pPr>
      <w:r w:rsidRPr="003E53BF">
        <w:rPr>
          <w:b/>
          <w:bCs/>
          <w:szCs w:val="32"/>
        </w:rPr>
        <w:t>Agenda item:</w:t>
      </w:r>
      <w:r>
        <w:rPr>
          <w:b/>
          <w:bCs/>
          <w:szCs w:val="32"/>
        </w:rPr>
        <w:tab/>
      </w:r>
      <w:r w:rsidR="001C3B51">
        <w:rPr>
          <w:szCs w:val="32"/>
        </w:rPr>
        <w:t>10.</w:t>
      </w:r>
    </w:p>
    <w:p w14:paraId="30694667" w14:textId="77777777" w:rsidR="003E53BF" w:rsidRDefault="003E53BF">
      <w:pPr>
        <w:rPr>
          <w:szCs w:val="32"/>
        </w:rPr>
      </w:pPr>
    </w:p>
    <w:p w14:paraId="51BEAD37" w14:textId="61E188BA" w:rsidR="003E53BF" w:rsidRDefault="003E53BF" w:rsidP="006C77EB">
      <w:pPr>
        <w:pStyle w:val="NormalBold"/>
        <w:tabs>
          <w:tab w:val="left" w:pos="2410"/>
        </w:tabs>
        <w:rPr>
          <w:szCs w:val="32"/>
        </w:rPr>
      </w:pPr>
      <w:r w:rsidRPr="001954F3">
        <w:rPr>
          <w:szCs w:val="32"/>
        </w:rPr>
        <w:t>Author</w:t>
      </w:r>
      <w:r>
        <w:rPr>
          <w:szCs w:val="32"/>
        </w:rPr>
        <w:t xml:space="preserve">: </w:t>
      </w:r>
      <w:r>
        <w:rPr>
          <w:szCs w:val="32"/>
        </w:rPr>
        <w:tab/>
      </w:r>
      <w:r w:rsidR="000E30DB">
        <w:rPr>
          <w:b w:val="0"/>
          <w:bCs/>
          <w:szCs w:val="32"/>
        </w:rPr>
        <w:t>Tom Skrinar</w:t>
      </w:r>
      <w:r w:rsidR="00395984">
        <w:rPr>
          <w:b w:val="0"/>
          <w:bCs/>
          <w:szCs w:val="32"/>
        </w:rPr>
        <w:t>, Director of Resources</w:t>
      </w:r>
    </w:p>
    <w:p w14:paraId="1D40BC59" w14:textId="00B9D0CD" w:rsidR="003E53BF" w:rsidRPr="001954F3" w:rsidRDefault="003E53BF" w:rsidP="008C7E24">
      <w:pPr>
        <w:pStyle w:val="NormalBold"/>
        <w:rPr>
          <w:szCs w:val="32"/>
        </w:rPr>
      </w:pPr>
    </w:p>
    <w:p w14:paraId="578664B8" w14:textId="77777777" w:rsidR="0022721B" w:rsidRDefault="00CC4A5C" w:rsidP="0021547D">
      <w:pPr>
        <w:pStyle w:val="Subheading"/>
      </w:pPr>
      <w:r>
        <w:pict w14:anchorId="47C5DBC6">
          <v:rect id="_x0000_i1025" style="width:460.7pt;height:1pt" o:hralign="center" o:hrstd="t" o:hrnoshade="t" o:hr="t" fillcolor="#4e1964" stroked="f"/>
        </w:pict>
      </w:r>
    </w:p>
    <w:p w14:paraId="59D2BE22" w14:textId="77777777" w:rsidR="00EA7FAB" w:rsidRDefault="00EA7FAB" w:rsidP="0021547D">
      <w:pPr>
        <w:pStyle w:val="Subheading"/>
      </w:pPr>
    </w:p>
    <w:p w14:paraId="04D50FA6" w14:textId="0E06B39D" w:rsidR="006D25C3" w:rsidRPr="007E7466" w:rsidRDefault="00395984" w:rsidP="0021547D">
      <w:pPr>
        <w:pStyle w:val="Subheading"/>
        <w:rPr>
          <w:szCs w:val="32"/>
        </w:rPr>
      </w:pPr>
      <w:r w:rsidRPr="007E7466">
        <w:rPr>
          <w:szCs w:val="32"/>
        </w:rPr>
        <w:t>Risk Update</w:t>
      </w:r>
      <w:r w:rsidR="003D73E6" w:rsidRPr="007E7466">
        <w:rPr>
          <w:szCs w:val="32"/>
        </w:rPr>
        <w:t xml:space="preserve"> </w:t>
      </w:r>
    </w:p>
    <w:p w14:paraId="7CC5F8FE" w14:textId="77777777" w:rsidR="006D25C3" w:rsidRPr="007E7466" w:rsidRDefault="006D25C3" w:rsidP="00556C0C">
      <w:pPr>
        <w:pStyle w:val="Heading1"/>
        <w:spacing w:line="276" w:lineRule="auto"/>
      </w:pPr>
      <w:r w:rsidRPr="007E7466">
        <w:t>Purpose of paper</w:t>
      </w:r>
      <w:r w:rsidR="00BD2381" w:rsidRPr="007E7466">
        <w:br/>
      </w:r>
    </w:p>
    <w:p w14:paraId="3516CE17" w14:textId="616CB3FD" w:rsidR="00E71531" w:rsidRPr="00820D49" w:rsidRDefault="00E71531" w:rsidP="001C3B51">
      <w:pPr>
        <w:pStyle w:val="ListParagraph"/>
        <w:numPr>
          <w:ilvl w:val="0"/>
          <w:numId w:val="23"/>
        </w:numPr>
        <w:spacing w:line="320" w:lineRule="exact"/>
        <w:ind w:left="567" w:hanging="567"/>
      </w:pPr>
      <w:r w:rsidRPr="00820D49">
        <w:t>To provide ARAC with an update on HTA’s strategic risks</w:t>
      </w:r>
      <w:r w:rsidR="008F75D0">
        <w:t>,</w:t>
      </w:r>
      <w:r w:rsidRPr="00820D49">
        <w:t xml:space="preserve"> and proposed mitigations </w:t>
      </w:r>
      <w:r w:rsidR="00C10FD2">
        <w:t xml:space="preserve">as </w:t>
      </w:r>
      <w:r w:rsidR="00CE4E96" w:rsidRPr="00820D49">
        <w:t>of</w:t>
      </w:r>
      <w:r w:rsidRPr="00820D49">
        <w:t xml:space="preserve"> </w:t>
      </w:r>
      <w:r w:rsidR="00DF5174">
        <w:t>September</w:t>
      </w:r>
      <w:r w:rsidR="00A10767">
        <w:t xml:space="preserve"> 2023</w:t>
      </w:r>
      <w:r w:rsidR="004D039E">
        <w:t>.</w:t>
      </w:r>
    </w:p>
    <w:p w14:paraId="5F4311F5" w14:textId="3DF34618" w:rsidR="00E71531" w:rsidRPr="007E7466" w:rsidRDefault="00E71531" w:rsidP="001C3B51">
      <w:pPr>
        <w:pStyle w:val="Heading1"/>
        <w:spacing w:line="320" w:lineRule="exact"/>
        <w:ind w:left="567" w:hanging="567"/>
      </w:pPr>
      <w:r w:rsidRPr="007E7466">
        <w:t>Decision-making to date</w:t>
      </w:r>
    </w:p>
    <w:p w14:paraId="38D4CDE7" w14:textId="77777777" w:rsidR="00E71531" w:rsidRPr="00820D49" w:rsidRDefault="00E71531" w:rsidP="001C3B51">
      <w:pPr>
        <w:spacing w:line="320" w:lineRule="exact"/>
        <w:ind w:left="567" w:hanging="567"/>
      </w:pPr>
    </w:p>
    <w:p w14:paraId="587899F9" w14:textId="354BF55B" w:rsidR="00E71531" w:rsidRPr="00820D49" w:rsidRDefault="00E71531" w:rsidP="001C3B51">
      <w:pPr>
        <w:pStyle w:val="ListParagraph"/>
        <w:numPr>
          <w:ilvl w:val="0"/>
          <w:numId w:val="23"/>
        </w:numPr>
        <w:spacing w:line="320" w:lineRule="exact"/>
        <w:ind w:left="567" w:hanging="567"/>
      </w:pPr>
      <w:r w:rsidRPr="00820D49">
        <w:t xml:space="preserve">This paper was approved by the Director of Resources on </w:t>
      </w:r>
      <w:r w:rsidR="00EC7672">
        <w:t>11 October</w:t>
      </w:r>
      <w:r w:rsidR="005A24E2">
        <w:t xml:space="preserve"> 2023</w:t>
      </w:r>
      <w:r w:rsidRPr="00820D49">
        <w:t>.</w:t>
      </w:r>
    </w:p>
    <w:p w14:paraId="15C531B0" w14:textId="604AB282" w:rsidR="00E71531" w:rsidRPr="007E7466" w:rsidRDefault="00E71531" w:rsidP="001C3B51">
      <w:pPr>
        <w:pStyle w:val="Heading1"/>
        <w:spacing w:line="320" w:lineRule="exact"/>
        <w:ind w:left="567" w:hanging="567"/>
      </w:pPr>
      <w:r w:rsidRPr="007E7466">
        <w:t>Action required</w:t>
      </w:r>
    </w:p>
    <w:p w14:paraId="2CAF16E5" w14:textId="77777777" w:rsidR="00E71531" w:rsidRPr="00820D49" w:rsidRDefault="00E71531" w:rsidP="001C3B51">
      <w:pPr>
        <w:spacing w:line="320" w:lineRule="exact"/>
        <w:ind w:left="567" w:hanging="567"/>
      </w:pPr>
    </w:p>
    <w:p w14:paraId="078B39C7" w14:textId="77777777" w:rsidR="00B70CC4" w:rsidRDefault="00E71531" w:rsidP="001C3B51">
      <w:pPr>
        <w:pStyle w:val="ListParagraph"/>
        <w:numPr>
          <w:ilvl w:val="0"/>
          <w:numId w:val="23"/>
        </w:numPr>
        <w:spacing w:line="320" w:lineRule="exact"/>
        <w:ind w:left="567" w:hanging="567"/>
      </w:pPr>
      <w:r w:rsidRPr="00820D49">
        <w:t>ARAC Members are asked to</w:t>
      </w:r>
      <w:r w:rsidR="00B70CC4">
        <w:t>:</w:t>
      </w:r>
    </w:p>
    <w:p w14:paraId="0FFEC7C7" w14:textId="77777777" w:rsidR="005A23A7" w:rsidRDefault="005A23A7" w:rsidP="001C3B51">
      <w:pPr>
        <w:pStyle w:val="ListParagraph"/>
        <w:spacing w:line="320" w:lineRule="exact"/>
        <w:ind w:left="567" w:hanging="567"/>
      </w:pPr>
    </w:p>
    <w:p w14:paraId="51A6B3E8" w14:textId="3820D793" w:rsidR="00B70CC4" w:rsidRDefault="009767AA" w:rsidP="00376BE5">
      <w:pPr>
        <w:pStyle w:val="ListParagraph"/>
        <w:numPr>
          <w:ilvl w:val="1"/>
          <w:numId w:val="23"/>
        </w:numPr>
        <w:spacing w:line="320" w:lineRule="exact"/>
        <w:ind w:left="1134" w:hanging="567"/>
      </w:pPr>
      <w:r>
        <w:t>C</w:t>
      </w:r>
      <w:r w:rsidR="00E71531" w:rsidRPr="00820D49">
        <w:t>omment on the strategic risks and assurances within the HTA Strategic Risk</w:t>
      </w:r>
      <w:r w:rsidR="00DE6A88">
        <w:t xml:space="preserve"> Summary</w:t>
      </w:r>
      <w:r w:rsidR="00E71531" w:rsidRPr="00820D49">
        <w:t xml:space="preserve"> attached to this paper at Annex A</w:t>
      </w:r>
      <w:r w:rsidR="008B6FC8">
        <w:t>.</w:t>
      </w:r>
    </w:p>
    <w:p w14:paraId="5AD9F790" w14:textId="098BCFF8" w:rsidR="00E71531" w:rsidRPr="007E7466" w:rsidRDefault="00E71531" w:rsidP="00D5355A">
      <w:pPr>
        <w:pStyle w:val="Heading1"/>
        <w:spacing w:line="320" w:lineRule="exact"/>
      </w:pPr>
      <w:r w:rsidRPr="007E7466">
        <w:t>Background</w:t>
      </w:r>
    </w:p>
    <w:p w14:paraId="0EAACB16" w14:textId="77777777" w:rsidR="00A44F89" w:rsidRPr="00820D49" w:rsidRDefault="00A44F89" w:rsidP="00D5355A">
      <w:pPr>
        <w:spacing w:line="320" w:lineRule="exact"/>
      </w:pPr>
    </w:p>
    <w:p w14:paraId="73004FFB" w14:textId="7A1DF9A6" w:rsidR="008D5CC0" w:rsidRDefault="00E71531" w:rsidP="00D5355A">
      <w:pPr>
        <w:pStyle w:val="ListParagraph"/>
        <w:numPr>
          <w:ilvl w:val="0"/>
          <w:numId w:val="23"/>
        </w:numPr>
        <w:spacing w:line="320" w:lineRule="exact"/>
      </w:pPr>
      <w:r w:rsidRPr="00820D49">
        <w:t xml:space="preserve">The strategic risks are reviewed </w:t>
      </w:r>
      <w:r w:rsidR="00A75F64">
        <w:t xml:space="preserve">annually by </w:t>
      </w:r>
      <w:r w:rsidRPr="00820D49">
        <w:t xml:space="preserve">the SMT </w:t>
      </w:r>
      <w:r w:rsidR="00A75F64">
        <w:t xml:space="preserve">to ensure they </w:t>
      </w:r>
      <w:r w:rsidR="00516D9D">
        <w:t xml:space="preserve">align to the strategic objectives and deliverables agreed </w:t>
      </w:r>
      <w:r w:rsidR="00A55A57">
        <w:t>within</w:t>
      </w:r>
      <w:r w:rsidR="00516D9D">
        <w:t xml:space="preserve"> the </w:t>
      </w:r>
      <w:r w:rsidR="00793531">
        <w:t>annual business pla</w:t>
      </w:r>
      <w:r w:rsidR="00A55A57">
        <w:t>n. The</w:t>
      </w:r>
      <w:r w:rsidR="004C0F7F">
        <w:t xml:space="preserve"> risks are then reviewed </w:t>
      </w:r>
      <w:r w:rsidRPr="00820D49">
        <w:t>monthly</w:t>
      </w:r>
      <w:r w:rsidR="004C0F7F">
        <w:t xml:space="preserve"> at </w:t>
      </w:r>
      <w:r w:rsidR="000069E4">
        <w:t>SMT</w:t>
      </w:r>
      <w:r w:rsidR="00E94354">
        <w:t xml:space="preserve"> Portfolio</w:t>
      </w:r>
      <w:r w:rsidR="004E162F">
        <w:t xml:space="preserve"> meetings</w:t>
      </w:r>
      <w:r w:rsidR="000069E4">
        <w:t>,</w:t>
      </w:r>
      <w:r w:rsidRPr="00820D49">
        <w:t xml:space="preserve"> and the register is updated</w:t>
      </w:r>
      <w:r w:rsidR="004C0F7F">
        <w:t xml:space="preserve"> and stored</w:t>
      </w:r>
      <w:r w:rsidRPr="00820D49">
        <w:t>.</w:t>
      </w:r>
    </w:p>
    <w:p w14:paraId="120C740A" w14:textId="77777777" w:rsidR="00D5355A" w:rsidRDefault="00D5355A" w:rsidP="00D5355A">
      <w:pPr>
        <w:pStyle w:val="ListParagraph"/>
        <w:spacing w:line="320" w:lineRule="exact"/>
        <w:ind w:left="510"/>
      </w:pPr>
    </w:p>
    <w:p w14:paraId="34FA54F8" w14:textId="6A9F6E4D" w:rsidR="00A846E2" w:rsidRDefault="00CB2D9A" w:rsidP="009C54BC">
      <w:pPr>
        <w:pStyle w:val="ListParagraph"/>
        <w:numPr>
          <w:ilvl w:val="0"/>
          <w:numId w:val="23"/>
        </w:numPr>
        <w:spacing w:line="320" w:lineRule="exact"/>
        <w:ind w:left="567" w:hanging="567"/>
      </w:pPr>
      <w:r>
        <w:lastRenderedPageBreak/>
        <w:t xml:space="preserve">The </w:t>
      </w:r>
      <w:r w:rsidR="00A10767">
        <w:t>E</w:t>
      </w:r>
      <w:r>
        <w:t xml:space="preserve">xecutive </w:t>
      </w:r>
      <w:r w:rsidR="00A10767">
        <w:t>T</w:t>
      </w:r>
      <w:r>
        <w:t xml:space="preserve">eam </w:t>
      </w:r>
      <w:r w:rsidR="00344723">
        <w:t>undertook the</w:t>
      </w:r>
      <w:r w:rsidR="007E6F39">
        <w:t>i</w:t>
      </w:r>
      <w:r w:rsidR="00344723">
        <w:t xml:space="preserve">r most recent review of the </w:t>
      </w:r>
      <w:r w:rsidR="00D25E6A">
        <w:t xml:space="preserve">revised </w:t>
      </w:r>
      <w:r w:rsidR="00344723">
        <w:t>strategic risk register on</w:t>
      </w:r>
      <w:r w:rsidR="00352F3D">
        <w:t xml:space="preserve"> </w:t>
      </w:r>
      <w:r w:rsidR="00DB155A">
        <w:t>2</w:t>
      </w:r>
      <w:r w:rsidR="004E162F">
        <w:t>2 August</w:t>
      </w:r>
      <w:r w:rsidR="00DB155A">
        <w:t xml:space="preserve"> 2023</w:t>
      </w:r>
      <w:r w:rsidR="006B6848">
        <w:t>;</w:t>
      </w:r>
      <w:r w:rsidR="00B45A27">
        <w:t xml:space="preserve"> </w:t>
      </w:r>
      <w:r w:rsidR="004E162F">
        <w:t>it was presented at the September Board meeting</w:t>
      </w:r>
      <w:r w:rsidR="00490C93">
        <w:t>;</w:t>
      </w:r>
      <w:r w:rsidR="00322A9D">
        <w:t xml:space="preserve"> </w:t>
      </w:r>
      <w:r w:rsidR="00B45A27">
        <w:t>the assessment is summarised below</w:t>
      </w:r>
      <w:r w:rsidR="00A846E2">
        <w:t>:</w:t>
      </w:r>
    </w:p>
    <w:p w14:paraId="12EC36AC" w14:textId="77777777" w:rsidR="00950DDB" w:rsidRDefault="00950DDB" w:rsidP="009C54BC">
      <w:pPr>
        <w:pStyle w:val="ListParagraph"/>
        <w:spacing w:line="320" w:lineRule="exact"/>
        <w:ind w:left="567" w:hanging="567"/>
      </w:pPr>
    </w:p>
    <w:p w14:paraId="69131323" w14:textId="797F8C4E" w:rsidR="00E71531" w:rsidRPr="007E7466" w:rsidRDefault="00E71531" w:rsidP="009C54BC">
      <w:pPr>
        <w:spacing w:line="320" w:lineRule="exact"/>
        <w:ind w:left="567" w:hanging="567"/>
        <w:rPr>
          <w:b/>
          <w:bCs/>
          <w:sz w:val="28"/>
          <w:szCs w:val="28"/>
        </w:rPr>
      </w:pPr>
      <w:r w:rsidRPr="007E7466">
        <w:rPr>
          <w:b/>
          <w:bCs/>
          <w:sz w:val="28"/>
          <w:szCs w:val="28"/>
        </w:rPr>
        <w:t xml:space="preserve">Risk assessment </w:t>
      </w:r>
    </w:p>
    <w:p w14:paraId="2D368A4B" w14:textId="77777777" w:rsidR="00B45A27" w:rsidRPr="00820D49" w:rsidRDefault="00B45A27" w:rsidP="009C54BC">
      <w:pPr>
        <w:spacing w:line="320" w:lineRule="exact"/>
        <w:ind w:left="567" w:hanging="567"/>
        <w:rPr>
          <w:b/>
          <w:bCs/>
        </w:rPr>
      </w:pPr>
    </w:p>
    <w:p w14:paraId="33DC7EDB" w14:textId="3B0DAB5D" w:rsidR="00E71531" w:rsidRDefault="00E71531" w:rsidP="009C54BC">
      <w:pPr>
        <w:pStyle w:val="ListParagraph"/>
        <w:numPr>
          <w:ilvl w:val="0"/>
          <w:numId w:val="23"/>
        </w:numPr>
        <w:spacing w:line="320" w:lineRule="exact"/>
        <w:ind w:left="567" w:hanging="567"/>
      </w:pPr>
      <w:r w:rsidRPr="00820D49">
        <w:rPr>
          <w:b/>
          <w:bCs/>
        </w:rPr>
        <w:t>Risk 1 – Failure to regulate appropriately (</w:t>
      </w:r>
      <w:r w:rsidR="00CE6122">
        <w:rPr>
          <w:b/>
          <w:bCs/>
        </w:rPr>
        <w:t>9</w:t>
      </w:r>
      <w:r w:rsidR="00DE56AE" w:rsidRPr="00820D49">
        <w:rPr>
          <w:b/>
          <w:bCs/>
        </w:rPr>
        <w:t xml:space="preserve"> – Medium, </w:t>
      </w:r>
      <w:r w:rsidR="00CE6122">
        <w:rPr>
          <w:b/>
          <w:bCs/>
        </w:rPr>
        <w:t>below</w:t>
      </w:r>
      <w:r w:rsidR="00DE56AE" w:rsidRPr="00820D49">
        <w:rPr>
          <w:b/>
          <w:bCs/>
        </w:rPr>
        <w:t xml:space="preserve"> tolerance</w:t>
      </w:r>
      <w:r w:rsidRPr="00820D49">
        <w:rPr>
          <w:b/>
          <w:bCs/>
        </w:rPr>
        <w:t>).</w:t>
      </w:r>
      <w:r w:rsidRPr="00820D49">
        <w:t xml:space="preserve">  </w:t>
      </w:r>
      <w:r w:rsidR="006578D3">
        <w:t>Since its last review, there ha</w:t>
      </w:r>
      <w:r w:rsidR="00222640">
        <w:t>ve</w:t>
      </w:r>
      <w:r w:rsidR="006578D3">
        <w:t xml:space="preserve"> been no significant changes to this risk</w:t>
      </w:r>
      <w:r w:rsidR="00893516">
        <w:t>.</w:t>
      </w:r>
      <w:r w:rsidR="00FA1BD3">
        <w:t xml:space="preserve"> </w:t>
      </w:r>
      <w:r w:rsidR="00F77B90">
        <w:t>SMT agreed that this risk remains below tolerance.</w:t>
      </w:r>
    </w:p>
    <w:p w14:paraId="164DC134" w14:textId="77777777" w:rsidR="00B91539" w:rsidRDefault="00B91539" w:rsidP="009C54BC">
      <w:pPr>
        <w:pStyle w:val="ListParagraph"/>
        <w:spacing w:line="320" w:lineRule="exact"/>
        <w:ind w:left="567" w:hanging="567"/>
      </w:pPr>
    </w:p>
    <w:p w14:paraId="5878FB67" w14:textId="2BB2537E" w:rsidR="000D5E80" w:rsidRDefault="00E71531" w:rsidP="009C54BC">
      <w:pPr>
        <w:pStyle w:val="ListParagraph"/>
        <w:numPr>
          <w:ilvl w:val="0"/>
          <w:numId w:val="23"/>
        </w:numPr>
        <w:spacing w:line="320" w:lineRule="exact"/>
        <w:ind w:left="567" w:hanging="567"/>
      </w:pPr>
      <w:r w:rsidRPr="000D5E80">
        <w:rPr>
          <w:b/>
          <w:bCs/>
        </w:rPr>
        <w:t xml:space="preserve">Risk 2 – Failure to manage </w:t>
      </w:r>
      <w:r w:rsidR="00A339EA" w:rsidRPr="000D5E80">
        <w:rPr>
          <w:b/>
          <w:bCs/>
        </w:rPr>
        <w:t xml:space="preserve">the impact of </w:t>
      </w:r>
      <w:r w:rsidRPr="000D5E80">
        <w:rPr>
          <w:b/>
          <w:bCs/>
        </w:rPr>
        <w:t>an incident (</w:t>
      </w:r>
      <w:r w:rsidR="000D5E80">
        <w:rPr>
          <w:b/>
          <w:bCs/>
        </w:rPr>
        <w:t>6</w:t>
      </w:r>
      <w:r w:rsidR="00870DB8" w:rsidRPr="000D5E80">
        <w:rPr>
          <w:b/>
          <w:bCs/>
        </w:rPr>
        <w:t xml:space="preserve"> – Medium, </w:t>
      </w:r>
      <w:r w:rsidR="000D5E80">
        <w:rPr>
          <w:b/>
          <w:bCs/>
        </w:rPr>
        <w:t>at</w:t>
      </w:r>
      <w:r w:rsidR="00870DB8" w:rsidRPr="000D5E80">
        <w:rPr>
          <w:b/>
          <w:bCs/>
        </w:rPr>
        <w:t xml:space="preserve"> tolerance</w:t>
      </w:r>
      <w:r w:rsidRPr="000D5E80">
        <w:rPr>
          <w:b/>
          <w:bCs/>
        </w:rPr>
        <w:t>).</w:t>
      </w:r>
      <w:r w:rsidRPr="00820D49">
        <w:t xml:space="preserve"> </w:t>
      </w:r>
      <w:r w:rsidR="00154F9D" w:rsidRPr="00820D49">
        <w:t xml:space="preserve">The HTA believes that our incident management response plans </w:t>
      </w:r>
      <w:r w:rsidR="008D47AA" w:rsidRPr="00820D49">
        <w:t xml:space="preserve">have </w:t>
      </w:r>
      <w:r w:rsidR="00560077">
        <w:t>been effective and robust through</w:t>
      </w:r>
      <w:r w:rsidR="000D5E80">
        <w:t>out</w:t>
      </w:r>
      <w:r w:rsidR="00560077">
        <w:t xml:space="preserve"> the last business year</w:t>
      </w:r>
      <w:r w:rsidR="00071AE9">
        <w:t>.</w:t>
      </w:r>
      <w:r w:rsidR="000D5E80">
        <w:t xml:space="preserve">  </w:t>
      </w:r>
    </w:p>
    <w:p w14:paraId="39D56CD4" w14:textId="77777777" w:rsidR="000D5E80" w:rsidRDefault="000D5E80" w:rsidP="009C54BC">
      <w:pPr>
        <w:pStyle w:val="ListParagraph"/>
        <w:ind w:left="567" w:hanging="567"/>
      </w:pPr>
    </w:p>
    <w:p w14:paraId="4E82A52B" w14:textId="00F6514E" w:rsidR="006433BD" w:rsidRDefault="00CE1F00" w:rsidP="009C54BC">
      <w:pPr>
        <w:pStyle w:val="ListParagraph"/>
        <w:numPr>
          <w:ilvl w:val="0"/>
          <w:numId w:val="23"/>
        </w:numPr>
        <w:spacing w:line="320" w:lineRule="exact"/>
        <w:ind w:left="567" w:hanging="567"/>
      </w:pPr>
      <w:r>
        <w:t xml:space="preserve">Our </w:t>
      </w:r>
      <w:r w:rsidR="000D5E80" w:rsidRPr="000D5E80">
        <w:t xml:space="preserve">Critical Incident Response Plan and </w:t>
      </w:r>
      <w:r>
        <w:t>Business Continuity Plan</w:t>
      </w:r>
      <w:r w:rsidR="007A3E3D">
        <w:t xml:space="preserve"> has been re-written. A test is planned for Q4 of the 2023/24 business year. At the end of September we created</w:t>
      </w:r>
      <w:r w:rsidR="00DF5CC3">
        <w:t xml:space="preserve"> a training video for Business Continuity that is mandated for staff to review</w:t>
      </w:r>
      <w:r w:rsidR="009B4DC7">
        <w:t xml:space="preserve"> via our training platform Astute</w:t>
      </w:r>
      <w:r w:rsidR="00DF5CC3">
        <w:t>. This also is the final piece of evidence for the Business Continuity audit conducted in 20</w:t>
      </w:r>
      <w:r w:rsidR="009C057A">
        <w:t>19</w:t>
      </w:r>
      <w:r w:rsidR="00DF5CC3">
        <w:t>/2</w:t>
      </w:r>
      <w:r w:rsidR="009C057A">
        <w:t>0</w:t>
      </w:r>
      <w:r w:rsidR="00DF5CC3">
        <w:t>.</w:t>
      </w:r>
      <w:r w:rsidR="0055174B">
        <w:t xml:space="preserve"> A copy of the video will be shared with our Internal auditors (GIAA) in due course.</w:t>
      </w:r>
      <w:r w:rsidR="00B97E9A">
        <w:t xml:space="preserve"> SMT agreed to reduce this risk to at tolerance.</w:t>
      </w:r>
    </w:p>
    <w:p w14:paraId="462AADCC" w14:textId="77777777" w:rsidR="000D5E80" w:rsidRPr="00820D49" w:rsidRDefault="000D5E80" w:rsidP="009C54BC">
      <w:pPr>
        <w:spacing w:line="320" w:lineRule="exact"/>
        <w:ind w:left="567" w:hanging="567"/>
      </w:pPr>
    </w:p>
    <w:p w14:paraId="34A21816" w14:textId="58A3ACDC" w:rsidR="00E71531" w:rsidRPr="001A7F55" w:rsidRDefault="00E71531" w:rsidP="001A7F55">
      <w:pPr>
        <w:pStyle w:val="ListParagraph"/>
        <w:numPr>
          <w:ilvl w:val="0"/>
          <w:numId w:val="23"/>
        </w:numPr>
        <w:spacing w:line="320" w:lineRule="exact"/>
      </w:pPr>
      <w:r w:rsidRPr="001A7F55">
        <w:rPr>
          <w:b/>
          <w:bCs/>
        </w:rPr>
        <w:t xml:space="preserve">Risk 3 – Failure to manage expectations </w:t>
      </w:r>
      <w:r w:rsidR="0042029E" w:rsidRPr="001A7F55">
        <w:rPr>
          <w:b/>
          <w:bCs/>
        </w:rPr>
        <w:t xml:space="preserve">of regulation </w:t>
      </w:r>
      <w:r w:rsidRPr="001A7F55">
        <w:rPr>
          <w:b/>
          <w:bCs/>
        </w:rPr>
        <w:t>(</w:t>
      </w:r>
      <w:r w:rsidR="00CB1985" w:rsidRPr="001A7F55">
        <w:rPr>
          <w:b/>
          <w:bCs/>
        </w:rPr>
        <w:t>9</w:t>
      </w:r>
      <w:r w:rsidR="00870DB8" w:rsidRPr="001A7F55">
        <w:rPr>
          <w:b/>
          <w:bCs/>
        </w:rPr>
        <w:t xml:space="preserve"> – Medium, </w:t>
      </w:r>
      <w:r w:rsidR="00910CEE" w:rsidRPr="001A7F55">
        <w:rPr>
          <w:b/>
          <w:bCs/>
        </w:rPr>
        <w:t>at</w:t>
      </w:r>
      <w:r w:rsidR="00870DB8" w:rsidRPr="001A7F55">
        <w:rPr>
          <w:b/>
          <w:bCs/>
        </w:rPr>
        <w:t xml:space="preserve"> tolerance</w:t>
      </w:r>
      <w:r w:rsidRPr="001A7F55">
        <w:rPr>
          <w:b/>
          <w:bCs/>
        </w:rPr>
        <w:t xml:space="preserve">). </w:t>
      </w:r>
      <w:r w:rsidR="00151BDB" w:rsidRPr="001A7F55">
        <w:t>Since its last review, there have been no significant changes to this risk. SMT agreed that this risk remains below tolerance.</w:t>
      </w:r>
    </w:p>
    <w:p w14:paraId="5B7C7B3C" w14:textId="77777777" w:rsidR="00DA4D2C" w:rsidRPr="00820D49" w:rsidRDefault="00DA4D2C" w:rsidP="009C54BC">
      <w:pPr>
        <w:pStyle w:val="ListParagraph"/>
        <w:spacing w:line="320" w:lineRule="exact"/>
        <w:ind w:left="567" w:hanging="567"/>
      </w:pPr>
    </w:p>
    <w:p w14:paraId="4982C6E7" w14:textId="3A333CF5" w:rsidR="00E71531" w:rsidRPr="00820D49" w:rsidRDefault="00E71531" w:rsidP="009C54BC">
      <w:pPr>
        <w:pStyle w:val="ListParagraph"/>
        <w:numPr>
          <w:ilvl w:val="0"/>
          <w:numId w:val="23"/>
        </w:numPr>
        <w:spacing w:line="320" w:lineRule="exact"/>
        <w:ind w:left="567" w:hanging="567"/>
      </w:pPr>
      <w:r w:rsidRPr="00820D49">
        <w:rPr>
          <w:b/>
          <w:bCs/>
        </w:rPr>
        <w:t xml:space="preserve">Risk 4 - Failure to </w:t>
      </w:r>
      <w:r w:rsidR="00B93190">
        <w:rPr>
          <w:b/>
          <w:bCs/>
        </w:rPr>
        <w:t xml:space="preserve">deliver </w:t>
      </w:r>
      <w:r w:rsidR="00A25080">
        <w:rPr>
          <w:b/>
          <w:bCs/>
        </w:rPr>
        <w:t>a diverse, capable workforce</w:t>
      </w:r>
      <w:r w:rsidRPr="00820D49">
        <w:rPr>
          <w:b/>
          <w:bCs/>
        </w:rPr>
        <w:t xml:space="preserve"> (</w:t>
      </w:r>
      <w:r w:rsidR="00465B15">
        <w:rPr>
          <w:b/>
          <w:bCs/>
        </w:rPr>
        <w:t>16</w:t>
      </w:r>
      <w:r w:rsidR="00F47420" w:rsidRPr="00820D49">
        <w:rPr>
          <w:b/>
          <w:bCs/>
        </w:rPr>
        <w:t xml:space="preserve"> </w:t>
      </w:r>
      <w:r w:rsidR="00465B15">
        <w:rPr>
          <w:b/>
          <w:bCs/>
        </w:rPr>
        <w:t>–</w:t>
      </w:r>
      <w:r w:rsidR="00F47420" w:rsidRPr="00820D49">
        <w:rPr>
          <w:b/>
          <w:bCs/>
        </w:rPr>
        <w:t xml:space="preserve"> </w:t>
      </w:r>
      <w:r w:rsidR="00465B15">
        <w:rPr>
          <w:b/>
          <w:bCs/>
        </w:rPr>
        <w:t>High,</w:t>
      </w:r>
      <w:r w:rsidR="00A068FB" w:rsidRPr="00820D49">
        <w:rPr>
          <w:b/>
          <w:bCs/>
        </w:rPr>
        <w:t xml:space="preserve"> </w:t>
      </w:r>
      <w:r w:rsidR="006E39B2">
        <w:rPr>
          <w:b/>
          <w:bCs/>
        </w:rPr>
        <w:t>a</w:t>
      </w:r>
      <w:r w:rsidR="00465B15">
        <w:rPr>
          <w:b/>
          <w:bCs/>
        </w:rPr>
        <w:t>bove</w:t>
      </w:r>
      <w:r w:rsidR="00A068FB" w:rsidRPr="00820D49">
        <w:rPr>
          <w:b/>
          <w:bCs/>
        </w:rPr>
        <w:t xml:space="preserve"> tolerance</w:t>
      </w:r>
      <w:r w:rsidRPr="00820D49">
        <w:rPr>
          <w:b/>
          <w:bCs/>
        </w:rPr>
        <w:t>).</w:t>
      </w:r>
      <w:r w:rsidRPr="00820D49">
        <w:t xml:space="preserve">  </w:t>
      </w:r>
      <w:r w:rsidR="000C0CFC">
        <w:t>SMT have reviewed this risk in light of changes within the HR sphere</w:t>
      </w:r>
      <w:r w:rsidR="00613A6A">
        <w:t xml:space="preserve"> and the challenges currently being faced around delivery of the Business Plan</w:t>
      </w:r>
      <w:r w:rsidR="000C0CFC">
        <w:t>.</w:t>
      </w:r>
    </w:p>
    <w:p w14:paraId="39156DA0" w14:textId="77777777" w:rsidR="00E71531" w:rsidRPr="00820D49" w:rsidRDefault="00E71531" w:rsidP="009C54BC">
      <w:pPr>
        <w:pStyle w:val="ListParagraph"/>
        <w:spacing w:line="320" w:lineRule="exact"/>
        <w:ind w:left="567" w:hanging="567"/>
      </w:pPr>
    </w:p>
    <w:p w14:paraId="061B6793" w14:textId="0C4919EE" w:rsidR="00E71531" w:rsidRDefault="00DC1C1A" w:rsidP="009C54BC">
      <w:pPr>
        <w:pStyle w:val="ListParagraph"/>
        <w:numPr>
          <w:ilvl w:val="0"/>
          <w:numId w:val="23"/>
        </w:numPr>
        <w:spacing w:line="320" w:lineRule="exact"/>
        <w:ind w:left="567" w:hanging="567"/>
      </w:pPr>
      <w:r>
        <w:t>Staff</w:t>
      </w:r>
      <w:r w:rsidR="00F74F01">
        <w:t xml:space="preserve"> retention </w:t>
      </w:r>
      <w:r w:rsidR="00B90EF9">
        <w:t xml:space="preserve">will </w:t>
      </w:r>
      <w:r w:rsidR="00F74F01">
        <w:t>continue to be an issue for the HTA</w:t>
      </w:r>
      <w:r w:rsidR="00D933B2">
        <w:t>. T</w:t>
      </w:r>
      <w:r w:rsidR="006019D7">
        <w:t xml:space="preserve">he </w:t>
      </w:r>
      <w:r w:rsidR="00A07585">
        <w:t>specialist</w:t>
      </w:r>
      <w:r w:rsidR="006019D7">
        <w:t xml:space="preserve"> nature of some of our wor</w:t>
      </w:r>
      <w:r w:rsidR="00D933B2">
        <w:t xml:space="preserve">k, </w:t>
      </w:r>
      <w:r w:rsidR="006019D7">
        <w:t>coup</w:t>
      </w:r>
      <w:r w:rsidR="00A07585">
        <w:t>l</w:t>
      </w:r>
      <w:r w:rsidR="006019D7">
        <w:t xml:space="preserve">ed with the number of </w:t>
      </w:r>
      <w:r w:rsidR="00A07585">
        <w:t>functions maintained by just one post holder</w:t>
      </w:r>
      <w:r w:rsidR="00875F02">
        <w:t>,</w:t>
      </w:r>
      <w:r w:rsidR="00ED44C2">
        <w:t xml:space="preserve"> means that we could quickly </w:t>
      </w:r>
      <w:r w:rsidR="00FD4D12">
        <w:t>see significant impact in some areas if attrition increases.</w:t>
      </w:r>
      <w:r w:rsidR="00E0381D">
        <w:t xml:space="preserve">  SMT noted </w:t>
      </w:r>
      <w:r w:rsidR="00875F02">
        <w:t>that</w:t>
      </w:r>
      <w:r w:rsidR="00E0381D">
        <w:t xml:space="preserve"> the transition to an outsourced shared service over this business year </w:t>
      </w:r>
      <w:r w:rsidR="00875F02">
        <w:t>should</w:t>
      </w:r>
      <w:r w:rsidR="00E0381D">
        <w:t xml:space="preserve"> strengthen the HTA’s internal HR resilience.</w:t>
      </w:r>
    </w:p>
    <w:p w14:paraId="7D1ADB2C" w14:textId="77777777" w:rsidR="00173BDD" w:rsidRDefault="00173BDD" w:rsidP="009C54BC">
      <w:pPr>
        <w:pStyle w:val="ListParagraph"/>
        <w:spacing w:line="320" w:lineRule="exact"/>
        <w:ind w:left="567" w:hanging="567"/>
      </w:pPr>
    </w:p>
    <w:p w14:paraId="0D98F827" w14:textId="542D09C9" w:rsidR="006B15A0" w:rsidRPr="00820D49" w:rsidRDefault="00DC1C1A" w:rsidP="009C54BC">
      <w:pPr>
        <w:pStyle w:val="ListParagraph"/>
        <w:numPr>
          <w:ilvl w:val="0"/>
          <w:numId w:val="23"/>
        </w:numPr>
        <w:spacing w:line="320" w:lineRule="exact"/>
        <w:ind w:left="567" w:hanging="567"/>
      </w:pPr>
      <w:r>
        <w:t>There is a paper on the agenda that takes a more detailed look at the issues around the HTA workforce and delivery, which the committee are requested to comment on.</w:t>
      </w:r>
      <w:r w:rsidR="00FE37F8">
        <w:t xml:space="preserve"> SMT agreed this remains the current position.</w:t>
      </w:r>
    </w:p>
    <w:p w14:paraId="64611AB6" w14:textId="77777777" w:rsidR="00E71531" w:rsidRPr="00820D49" w:rsidRDefault="00E71531" w:rsidP="009C54BC">
      <w:pPr>
        <w:pStyle w:val="ListParagraph"/>
        <w:spacing w:line="320" w:lineRule="exact"/>
        <w:ind w:left="567" w:hanging="567"/>
      </w:pPr>
    </w:p>
    <w:p w14:paraId="47504A5C" w14:textId="1170CAF6" w:rsidR="00173BDD" w:rsidRDefault="00E71531" w:rsidP="009C54BC">
      <w:pPr>
        <w:pStyle w:val="ListParagraph"/>
        <w:numPr>
          <w:ilvl w:val="0"/>
          <w:numId w:val="23"/>
        </w:numPr>
        <w:spacing w:line="320" w:lineRule="exact"/>
        <w:ind w:left="567" w:hanging="567"/>
      </w:pPr>
      <w:r w:rsidRPr="008C7D05">
        <w:rPr>
          <w:b/>
          <w:bCs/>
        </w:rPr>
        <w:lastRenderedPageBreak/>
        <w:t>Risk 5 – Insufficient, or ineffective, management of financial resources (</w:t>
      </w:r>
      <w:r w:rsidR="00045EE0">
        <w:rPr>
          <w:b/>
          <w:bCs/>
        </w:rPr>
        <w:t>9</w:t>
      </w:r>
      <w:r w:rsidR="00A068FB" w:rsidRPr="008C7D05">
        <w:rPr>
          <w:b/>
          <w:bCs/>
        </w:rPr>
        <w:t xml:space="preserve"> – </w:t>
      </w:r>
      <w:r w:rsidR="00045EE0">
        <w:rPr>
          <w:b/>
          <w:bCs/>
        </w:rPr>
        <w:t>Medium</w:t>
      </w:r>
      <w:r w:rsidR="006B6B29">
        <w:rPr>
          <w:b/>
          <w:bCs/>
        </w:rPr>
        <w:t xml:space="preserve"> above</w:t>
      </w:r>
      <w:r w:rsidR="00A068FB" w:rsidRPr="008C7D05">
        <w:rPr>
          <w:b/>
          <w:bCs/>
        </w:rPr>
        <w:t xml:space="preserve"> tolerance</w:t>
      </w:r>
      <w:r w:rsidRPr="008C7D05">
        <w:rPr>
          <w:b/>
          <w:bCs/>
        </w:rPr>
        <w:t>).</w:t>
      </w:r>
      <w:r w:rsidRPr="00820D49">
        <w:t xml:space="preserve">  </w:t>
      </w:r>
      <w:r w:rsidR="008B48D5">
        <w:t xml:space="preserve">Although this risk remains above tolerance SMT are content </w:t>
      </w:r>
      <w:r w:rsidR="00AC17C3">
        <w:t xml:space="preserve">to </w:t>
      </w:r>
      <w:r w:rsidR="00A7564C">
        <w:t>accept</w:t>
      </w:r>
      <w:r w:rsidR="00AC17C3">
        <w:t xml:space="preserve"> this risk at the assessed</w:t>
      </w:r>
      <w:r w:rsidR="00A7564C">
        <w:t xml:space="preserve"> residual risk level</w:t>
      </w:r>
      <w:r w:rsidR="00797DD5">
        <w:t xml:space="preserve">. </w:t>
      </w:r>
      <w:r w:rsidR="000A54C0">
        <w:t>Board approval to change the tolerance level to 4</w:t>
      </w:r>
      <w:r w:rsidR="00797DD5">
        <w:t xml:space="preserve"> was sought at the September meeting.</w:t>
      </w:r>
      <w:r w:rsidR="00D5425A">
        <w:t xml:space="preserve"> </w:t>
      </w:r>
    </w:p>
    <w:p w14:paraId="7F0FF92F" w14:textId="77777777" w:rsidR="00173BDD" w:rsidRDefault="00173BDD" w:rsidP="009C54BC">
      <w:pPr>
        <w:pStyle w:val="ListParagraph"/>
        <w:spacing w:line="320" w:lineRule="exact"/>
        <w:ind w:left="567" w:hanging="567"/>
      </w:pPr>
    </w:p>
    <w:p w14:paraId="2B6CF751" w14:textId="4C96247B" w:rsidR="007F0A7A" w:rsidRDefault="00F13B9A" w:rsidP="009C54BC">
      <w:pPr>
        <w:pStyle w:val="ListParagraph"/>
        <w:numPr>
          <w:ilvl w:val="0"/>
          <w:numId w:val="23"/>
        </w:numPr>
        <w:spacing w:line="320" w:lineRule="exact"/>
        <w:ind w:left="567" w:hanging="567"/>
      </w:pPr>
      <w:r>
        <w:t>Our</w:t>
      </w:r>
      <w:r w:rsidR="00145971">
        <w:t xml:space="preserve"> </w:t>
      </w:r>
      <w:r w:rsidR="002321D3">
        <w:t>forecast</w:t>
      </w:r>
      <w:r w:rsidR="00145971">
        <w:t xml:space="preserve"> financial position is </w:t>
      </w:r>
      <w:r w:rsidR="00B66F86">
        <w:t>broadly break-even</w:t>
      </w:r>
      <w:r w:rsidR="00D42CD6">
        <w:t xml:space="preserve">, but this could change if </w:t>
      </w:r>
      <w:r w:rsidR="00B66F86">
        <w:t xml:space="preserve">unexpected costs arise or </w:t>
      </w:r>
      <w:r w:rsidR="007405DF">
        <w:t xml:space="preserve">if </w:t>
      </w:r>
      <w:r w:rsidR="00D42CD6">
        <w:t>staff turnover</w:t>
      </w:r>
      <w:r w:rsidR="007405DF">
        <w:t xml:space="preserve"> increases</w:t>
      </w:r>
      <w:r w:rsidR="00D42CD6">
        <w:t xml:space="preserve"> or we </w:t>
      </w:r>
      <w:r w:rsidR="000B25D4">
        <w:t>experience unexpected fluctuations in income</w:t>
      </w:r>
      <w:r w:rsidR="00D42CD6">
        <w:t>.</w:t>
      </w:r>
    </w:p>
    <w:p w14:paraId="12D39AE1" w14:textId="77777777" w:rsidR="007F0A7A" w:rsidRDefault="007F0A7A" w:rsidP="009C54BC">
      <w:pPr>
        <w:pStyle w:val="ListParagraph"/>
        <w:ind w:left="567" w:hanging="567"/>
      </w:pPr>
    </w:p>
    <w:p w14:paraId="6DA4684C" w14:textId="5F43A4C7" w:rsidR="00974407" w:rsidRDefault="007F0A7A" w:rsidP="009C54BC">
      <w:pPr>
        <w:pStyle w:val="ListParagraph"/>
        <w:numPr>
          <w:ilvl w:val="0"/>
          <w:numId w:val="23"/>
        </w:numPr>
        <w:spacing w:line="320" w:lineRule="exact"/>
        <w:ind w:left="567" w:hanging="567"/>
      </w:pPr>
      <w:r>
        <w:t>The Reform and Efficiencies programme has resulted in reductions to our GIA for the next two financial years which will require</w:t>
      </w:r>
      <w:r w:rsidR="00A34ED5">
        <w:t xml:space="preserve"> an increase</w:t>
      </w:r>
      <w:r>
        <w:t xml:space="preserve"> to our fee levels.</w:t>
      </w:r>
      <w:r w:rsidR="006F5A3C">
        <w:t xml:space="preserve"> We will need to factor those</w:t>
      </w:r>
      <w:r w:rsidR="00F06C1B">
        <w:t xml:space="preserve"> key</w:t>
      </w:r>
      <w:r w:rsidR="006F5A3C">
        <w:t xml:space="preserve"> projects that </w:t>
      </w:r>
      <w:r w:rsidR="005974E1">
        <w:t>were agreed to be deferred</w:t>
      </w:r>
      <w:r w:rsidR="000B25D4">
        <w:t xml:space="preserve"> in 2023/24</w:t>
      </w:r>
      <w:r w:rsidR="005974E1">
        <w:t xml:space="preserve"> whilst funds were limited</w:t>
      </w:r>
      <w:r w:rsidR="00F06C1B">
        <w:t xml:space="preserve"> into the 2024/25 budget</w:t>
      </w:r>
      <w:r w:rsidR="005974E1">
        <w:t>.</w:t>
      </w:r>
      <w:r w:rsidR="00FD5E7B">
        <w:t xml:space="preserve"> </w:t>
      </w:r>
      <w:r w:rsidR="00CF066C">
        <w:t>Furthermore, p</w:t>
      </w:r>
      <w:r w:rsidR="00660E27">
        <w:t>olicy currently being developed within the Department may create additional duties for HTA</w:t>
      </w:r>
      <w:r w:rsidR="005A4254">
        <w:t xml:space="preserve"> that would require additional resource</w:t>
      </w:r>
      <w:r w:rsidR="00D34E38">
        <w:t xml:space="preserve"> and</w:t>
      </w:r>
      <w:r w:rsidR="005A4254">
        <w:t xml:space="preserve"> that may</w:t>
      </w:r>
      <w:r w:rsidR="00D34E38">
        <w:t xml:space="preserve"> not</w:t>
      </w:r>
      <w:r w:rsidR="005A4254">
        <w:t xml:space="preserve"> be appropriate</w:t>
      </w:r>
      <w:r w:rsidR="00A35715">
        <w:t xml:space="preserve"> to</w:t>
      </w:r>
      <w:r w:rsidR="005A4254">
        <w:t xml:space="preserve"> </w:t>
      </w:r>
      <w:r w:rsidR="00D34E38">
        <w:t xml:space="preserve">fund through </w:t>
      </w:r>
      <w:r w:rsidR="005A4254">
        <w:t xml:space="preserve">fees. The HTA will continue </w:t>
      </w:r>
      <w:r w:rsidR="00FD5E7B">
        <w:t>to engage with the Department on this issue</w:t>
      </w:r>
      <w:r w:rsidR="00E13FCC">
        <w:t>, as well as on fee increases.</w:t>
      </w:r>
    </w:p>
    <w:p w14:paraId="6CE8F5EE" w14:textId="77777777" w:rsidR="00D5425A" w:rsidRDefault="00D5425A" w:rsidP="009C54BC">
      <w:pPr>
        <w:pStyle w:val="ListParagraph"/>
        <w:spacing w:line="320" w:lineRule="exact"/>
        <w:ind w:left="567" w:hanging="567"/>
      </w:pPr>
    </w:p>
    <w:p w14:paraId="1FC90BF0" w14:textId="357DEB04" w:rsidR="00133B7E" w:rsidRDefault="00E25193" w:rsidP="009C54BC">
      <w:pPr>
        <w:pStyle w:val="ListParagraph"/>
        <w:numPr>
          <w:ilvl w:val="0"/>
          <w:numId w:val="23"/>
        </w:numPr>
        <w:spacing w:line="320" w:lineRule="exact"/>
        <w:ind w:left="567" w:hanging="567"/>
      </w:pPr>
      <w:r w:rsidRPr="00820D49">
        <w:rPr>
          <w:b/>
          <w:bCs/>
        </w:rPr>
        <w:t xml:space="preserve">Risk </w:t>
      </w:r>
      <w:r>
        <w:rPr>
          <w:b/>
          <w:bCs/>
        </w:rPr>
        <w:t>6</w:t>
      </w:r>
      <w:r w:rsidRPr="00820D49">
        <w:rPr>
          <w:b/>
          <w:bCs/>
        </w:rPr>
        <w:t xml:space="preserve"> – Failure </w:t>
      </w:r>
      <w:r w:rsidR="00E71531" w:rsidRPr="00820D49">
        <w:rPr>
          <w:b/>
          <w:bCs/>
        </w:rPr>
        <w:t xml:space="preserve">to </w:t>
      </w:r>
      <w:r w:rsidR="00E22EFC" w:rsidRPr="00E22EFC">
        <w:rPr>
          <w:b/>
          <w:bCs/>
        </w:rPr>
        <w:t>take advantage of opportunities that allow the HTA to be an efficient regulator</w:t>
      </w:r>
      <w:r w:rsidR="00E71531" w:rsidRPr="00820D49">
        <w:rPr>
          <w:b/>
          <w:bCs/>
        </w:rPr>
        <w:t xml:space="preserve"> (</w:t>
      </w:r>
      <w:r w:rsidR="00E22EFC">
        <w:rPr>
          <w:b/>
          <w:bCs/>
        </w:rPr>
        <w:t>9</w:t>
      </w:r>
      <w:r w:rsidR="00016D3F">
        <w:rPr>
          <w:b/>
          <w:bCs/>
        </w:rPr>
        <w:t xml:space="preserve"> </w:t>
      </w:r>
      <w:r w:rsidR="002113EF" w:rsidRPr="00820D49">
        <w:rPr>
          <w:b/>
          <w:bCs/>
        </w:rPr>
        <w:t xml:space="preserve">- </w:t>
      </w:r>
      <w:r w:rsidR="00E22EFC">
        <w:rPr>
          <w:b/>
          <w:bCs/>
        </w:rPr>
        <w:t>Medium</w:t>
      </w:r>
      <w:r w:rsidR="002113EF" w:rsidRPr="00820D49">
        <w:rPr>
          <w:b/>
          <w:bCs/>
        </w:rPr>
        <w:t xml:space="preserve">, </w:t>
      </w:r>
      <w:r w:rsidR="00E22EFC">
        <w:rPr>
          <w:b/>
          <w:bCs/>
        </w:rPr>
        <w:t>at</w:t>
      </w:r>
      <w:r w:rsidR="002113EF" w:rsidRPr="00820D49">
        <w:rPr>
          <w:b/>
          <w:bCs/>
        </w:rPr>
        <w:t xml:space="preserve"> tolerance</w:t>
      </w:r>
      <w:r w:rsidR="00E71531" w:rsidRPr="00820D49">
        <w:rPr>
          <w:b/>
          <w:bCs/>
        </w:rPr>
        <w:t xml:space="preserve">). </w:t>
      </w:r>
      <w:r w:rsidR="00A27011" w:rsidRPr="00A27011">
        <w:t>This risk has been updated and redefined for 2023/24 to reflect a central priority supporting efficiency and reform</w:t>
      </w:r>
      <w:r w:rsidR="00BC267E">
        <w:t>.</w:t>
      </w:r>
    </w:p>
    <w:p w14:paraId="1E8F7D3D" w14:textId="77777777" w:rsidR="0072411B" w:rsidRDefault="0072411B" w:rsidP="009C54BC">
      <w:pPr>
        <w:pStyle w:val="ListParagraph"/>
        <w:spacing w:line="320" w:lineRule="exact"/>
        <w:ind w:left="567" w:hanging="567"/>
      </w:pPr>
    </w:p>
    <w:p w14:paraId="3016254C" w14:textId="1F02054F" w:rsidR="00D609EE" w:rsidRDefault="009D2937" w:rsidP="009C54BC">
      <w:pPr>
        <w:pStyle w:val="ListParagraph"/>
        <w:numPr>
          <w:ilvl w:val="0"/>
          <w:numId w:val="23"/>
        </w:numPr>
        <w:spacing w:line="320" w:lineRule="exact"/>
        <w:ind w:left="567" w:hanging="567"/>
      </w:pPr>
      <w:r>
        <w:t xml:space="preserve">SMT </w:t>
      </w:r>
      <w:r w:rsidR="00795768">
        <w:t xml:space="preserve">felt that the position was at tolerance, noting the </w:t>
      </w:r>
      <w:r w:rsidR="00A6523D">
        <w:t>need for</w:t>
      </w:r>
      <w:r w:rsidR="00761C9D">
        <w:t xml:space="preserve"> currently limited</w:t>
      </w:r>
      <w:r w:rsidR="00A6523D">
        <w:t xml:space="preserve"> management time and </w:t>
      </w:r>
      <w:r w:rsidR="00761C9D">
        <w:t>financial resource in order to make appropriate investments</w:t>
      </w:r>
      <w:r w:rsidR="005618B2">
        <w:t xml:space="preserve"> and improvements.</w:t>
      </w:r>
    </w:p>
    <w:p w14:paraId="1C777DC3" w14:textId="77777777" w:rsidR="00324671" w:rsidRDefault="00324671" w:rsidP="009C54BC">
      <w:pPr>
        <w:pStyle w:val="ListParagraph"/>
        <w:spacing w:line="320" w:lineRule="exact"/>
        <w:ind w:left="567" w:hanging="567"/>
      </w:pPr>
    </w:p>
    <w:p w14:paraId="3024FDC1" w14:textId="5490DA32" w:rsidR="00820D49" w:rsidRDefault="00324671" w:rsidP="009C54BC">
      <w:pPr>
        <w:pStyle w:val="ListParagraph"/>
        <w:numPr>
          <w:ilvl w:val="0"/>
          <w:numId w:val="23"/>
        </w:numPr>
        <w:spacing w:line="320" w:lineRule="exact"/>
        <w:ind w:left="567" w:hanging="567"/>
      </w:pPr>
      <w:r w:rsidRPr="00741106">
        <w:rPr>
          <w:b/>
          <w:bCs/>
        </w:rPr>
        <w:t xml:space="preserve">Risk 7 – Failure to optimise the </w:t>
      </w:r>
      <w:r w:rsidR="00153148" w:rsidRPr="00741106">
        <w:rPr>
          <w:b/>
          <w:bCs/>
        </w:rPr>
        <w:t>safe use of digital, data &amp; technology (</w:t>
      </w:r>
      <w:r w:rsidR="0047606C" w:rsidRPr="00741106">
        <w:rPr>
          <w:b/>
          <w:bCs/>
        </w:rPr>
        <w:t>12</w:t>
      </w:r>
      <w:r w:rsidR="00153148" w:rsidRPr="00741106">
        <w:rPr>
          <w:b/>
          <w:bCs/>
        </w:rPr>
        <w:t xml:space="preserve"> – </w:t>
      </w:r>
      <w:r w:rsidR="0047606C" w:rsidRPr="00741106">
        <w:rPr>
          <w:b/>
          <w:bCs/>
        </w:rPr>
        <w:t>High</w:t>
      </w:r>
      <w:r w:rsidR="00153148" w:rsidRPr="00741106">
        <w:rPr>
          <w:b/>
          <w:bCs/>
        </w:rPr>
        <w:t xml:space="preserve">, </w:t>
      </w:r>
      <w:r w:rsidR="00FC646F" w:rsidRPr="00741106">
        <w:rPr>
          <w:b/>
          <w:bCs/>
        </w:rPr>
        <w:t>above</w:t>
      </w:r>
      <w:r w:rsidR="00153148" w:rsidRPr="00741106">
        <w:rPr>
          <w:b/>
          <w:bCs/>
        </w:rPr>
        <w:t xml:space="preserve"> tolerance</w:t>
      </w:r>
      <w:r w:rsidR="00B604DF" w:rsidRPr="00741106">
        <w:rPr>
          <w:b/>
          <w:bCs/>
        </w:rPr>
        <w:t>)</w:t>
      </w:r>
      <w:r w:rsidR="00521C05" w:rsidRPr="00741106">
        <w:rPr>
          <w:b/>
          <w:bCs/>
        </w:rPr>
        <w:t xml:space="preserve">. </w:t>
      </w:r>
      <w:r w:rsidR="00741106" w:rsidRPr="00741106">
        <w:t>The HTA’s IT function has been an area of consistent pressure</w:t>
      </w:r>
      <w:r w:rsidR="005618B2">
        <w:t>, with</w:t>
      </w:r>
      <w:r w:rsidR="00741106" w:rsidRPr="00741106">
        <w:t xml:space="preserve"> over commi</w:t>
      </w:r>
      <w:r w:rsidR="005618B2">
        <w:t>tted</w:t>
      </w:r>
      <w:r w:rsidR="00741106" w:rsidRPr="00741106">
        <w:t xml:space="preserve"> internal resource for a number of years. </w:t>
      </w:r>
    </w:p>
    <w:p w14:paraId="30F736D0" w14:textId="77777777" w:rsidR="00D1365F" w:rsidRDefault="00D1365F" w:rsidP="009C54BC">
      <w:pPr>
        <w:pStyle w:val="ListParagraph"/>
        <w:ind w:left="567" w:hanging="567"/>
      </w:pPr>
    </w:p>
    <w:p w14:paraId="5448FAA7" w14:textId="77777777" w:rsidR="00D279C8" w:rsidRPr="00D279C8" w:rsidRDefault="000E2EEB" w:rsidP="009C54BC">
      <w:pPr>
        <w:pStyle w:val="ListParagraph"/>
        <w:numPr>
          <w:ilvl w:val="0"/>
          <w:numId w:val="23"/>
        </w:numPr>
        <w:spacing w:line="320" w:lineRule="exact"/>
        <w:ind w:left="567" w:hanging="567"/>
      </w:pPr>
      <w:r>
        <w:t xml:space="preserve">Resource continues </w:t>
      </w:r>
      <w:r w:rsidR="008B69F1">
        <w:t>to constrain progress in this area with key appointments u</w:t>
      </w:r>
      <w:r w:rsidR="0029146C">
        <w:t>n</w:t>
      </w:r>
      <w:r w:rsidR="008B69F1">
        <w:t xml:space="preserve">der active recruitment. </w:t>
      </w:r>
      <w:r w:rsidR="00657316">
        <w:t xml:space="preserve">Two projects in particular (Outsourced IT service and </w:t>
      </w:r>
      <w:r w:rsidR="003277D0">
        <w:t xml:space="preserve">development of </w:t>
      </w:r>
      <w:r w:rsidR="005E5DCA">
        <w:rPr>
          <w:rFonts w:eastAsia="Calibri"/>
          <w:bCs/>
          <w:lang w:eastAsia="en-US"/>
        </w:rPr>
        <w:t xml:space="preserve">the Regulatory Insight Model and Index) remain at risk given the current resource constraint and active vacancies.  </w:t>
      </w:r>
    </w:p>
    <w:p w14:paraId="74C18345" w14:textId="77777777" w:rsidR="00D279C8" w:rsidRPr="00D279C8" w:rsidRDefault="00D279C8" w:rsidP="009C54BC">
      <w:pPr>
        <w:pStyle w:val="ListParagraph"/>
        <w:ind w:left="567" w:hanging="567"/>
        <w:rPr>
          <w:rFonts w:eastAsia="Calibri"/>
          <w:bCs/>
          <w:lang w:eastAsia="en-US"/>
        </w:rPr>
      </w:pPr>
    </w:p>
    <w:p w14:paraId="1258A116" w14:textId="238F3505" w:rsidR="00EA5BCB" w:rsidRPr="00F92778" w:rsidRDefault="00D279C8" w:rsidP="009C54BC">
      <w:pPr>
        <w:pStyle w:val="ListParagraph"/>
        <w:numPr>
          <w:ilvl w:val="0"/>
          <w:numId w:val="23"/>
        </w:numPr>
        <w:spacing w:before="120" w:after="120" w:line="276" w:lineRule="auto"/>
        <w:ind w:left="567" w:right="114" w:hanging="567"/>
        <w:rPr>
          <w:rFonts w:eastAsia="Calibri"/>
          <w:bCs/>
          <w:lang w:eastAsia="en-US"/>
        </w:rPr>
      </w:pPr>
      <w:r w:rsidRPr="00F92778">
        <w:rPr>
          <w:rFonts w:eastAsia="Calibri"/>
          <w:bCs/>
          <w:lang w:eastAsia="en-US"/>
        </w:rPr>
        <w:t>Since the last update, we have recruited to the Head of IT position with the candidate due to commence in November</w:t>
      </w:r>
      <w:r w:rsidR="00BA51C8" w:rsidRPr="00F92778">
        <w:rPr>
          <w:rFonts w:eastAsia="Calibri"/>
          <w:bCs/>
          <w:lang w:eastAsia="en-US"/>
        </w:rPr>
        <w:t>.</w:t>
      </w:r>
      <w:r w:rsidRPr="00F92778">
        <w:rPr>
          <w:rFonts w:eastAsia="Calibri"/>
          <w:bCs/>
          <w:lang w:eastAsia="en-US"/>
        </w:rPr>
        <w:t xml:space="preserve"> Whilst the recruitment of a new member of staff does not necessarily reduce the risk, it is expected that</w:t>
      </w:r>
      <w:r w:rsidR="00F92778" w:rsidRPr="00F92778">
        <w:rPr>
          <w:rFonts w:eastAsia="Calibri"/>
          <w:bCs/>
          <w:lang w:eastAsia="en-US"/>
        </w:rPr>
        <w:t xml:space="preserve"> over the coming months, the work that will be undertaken will have an impact on residual risk. </w:t>
      </w:r>
      <w:r w:rsidR="00EA5BCB" w:rsidRPr="00F92778">
        <w:rPr>
          <w:rFonts w:eastAsia="Calibri"/>
          <w:bCs/>
          <w:lang w:eastAsia="en-US"/>
        </w:rPr>
        <w:t>SMT agreed this risk remains above tolerance.</w:t>
      </w:r>
    </w:p>
    <w:p w14:paraId="3A4BD4E5" w14:textId="77777777" w:rsidR="00EA5BCB" w:rsidRPr="00EA5BCB" w:rsidRDefault="00EA5BCB" w:rsidP="009C54BC">
      <w:pPr>
        <w:pStyle w:val="ListParagraph"/>
        <w:ind w:left="567" w:hanging="567"/>
        <w:rPr>
          <w:rFonts w:eastAsia="Calibri"/>
          <w:bCs/>
          <w:lang w:eastAsia="en-US"/>
        </w:rPr>
      </w:pPr>
    </w:p>
    <w:p w14:paraId="1B84578B" w14:textId="1831853D" w:rsidR="00BA51C8" w:rsidRDefault="000B3D39" w:rsidP="009C54BC">
      <w:pPr>
        <w:pStyle w:val="ListParagraph"/>
        <w:numPr>
          <w:ilvl w:val="0"/>
          <w:numId w:val="23"/>
        </w:numPr>
        <w:spacing w:line="320" w:lineRule="exact"/>
        <w:ind w:left="567" w:hanging="567"/>
      </w:pPr>
      <w:r w:rsidRPr="00741106">
        <w:rPr>
          <w:b/>
          <w:bCs/>
        </w:rPr>
        <w:t xml:space="preserve">Risk </w:t>
      </w:r>
      <w:r>
        <w:rPr>
          <w:b/>
          <w:bCs/>
        </w:rPr>
        <w:t>8</w:t>
      </w:r>
      <w:r w:rsidRPr="00741106">
        <w:rPr>
          <w:b/>
          <w:bCs/>
        </w:rPr>
        <w:t xml:space="preserve"> </w:t>
      </w:r>
      <w:r w:rsidR="00FC14D7" w:rsidRPr="00741106">
        <w:rPr>
          <w:b/>
          <w:bCs/>
        </w:rPr>
        <w:t xml:space="preserve">– </w:t>
      </w:r>
      <w:r w:rsidR="00FC14D7">
        <w:rPr>
          <w:b/>
          <w:bCs/>
        </w:rPr>
        <w:t>Failure</w:t>
      </w:r>
      <w:r w:rsidR="00D133EF" w:rsidRPr="008350B1">
        <w:rPr>
          <w:b/>
          <w:bCs/>
        </w:rPr>
        <w:t xml:space="preserve"> to deliver the agreed Business Plan (</w:t>
      </w:r>
      <w:r w:rsidR="005466CA">
        <w:rPr>
          <w:b/>
          <w:bCs/>
        </w:rPr>
        <w:t>12</w:t>
      </w:r>
      <w:r w:rsidR="00D133EF" w:rsidRPr="008350B1">
        <w:rPr>
          <w:b/>
          <w:bCs/>
        </w:rPr>
        <w:t xml:space="preserve"> – Medium, above tolerance).</w:t>
      </w:r>
      <w:r w:rsidR="00D133EF">
        <w:t xml:space="preserve">  </w:t>
      </w:r>
      <w:r w:rsidR="005466CA">
        <w:t xml:space="preserve">This </w:t>
      </w:r>
      <w:r w:rsidR="0000104E">
        <w:t>was a</w:t>
      </w:r>
      <w:r w:rsidR="008350B1">
        <w:t xml:space="preserve"> new risk for 2023/24 </w:t>
      </w:r>
      <w:r w:rsidR="0000104E">
        <w:t>and</w:t>
      </w:r>
      <w:r w:rsidR="008350B1">
        <w:t xml:space="preserve"> </w:t>
      </w:r>
      <w:r w:rsidR="00FC14D7">
        <w:t>considers</w:t>
      </w:r>
      <w:r w:rsidR="008350B1">
        <w:t xml:space="preserve"> the HTA’s overall ability to successfully meet its agreed business plan.</w:t>
      </w:r>
    </w:p>
    <w:p w14:paraId="171761AE" w14:textId="77777777" w:rsidR="008350B1" w:rsidRDefault="008350B1" w:rsidP="009C54BC">
      <w:pPr>
        <w:pStyle w:val="ListParagraph"/>
        <w:ind w:left="567" w:hanging="567"/>
      </w:pPr>
    </w:p>
    <w:p w14:paraId="1A1BFB45" w14:textId="07E92E1F" w:rsidR="008350B1" w:rsidRDefault="00FF0628" w:rsidP="009C54BC">
      <w:pPr>
        <w:pStyle w:val="ListParagraph"/>
        <w:numPr>
          <w:ilvl w:val="0"/>
          <w:numId w:val="23"/>
        </w:numPr>
        <w:spacing w:line="320" w:lineRule="exact"/>
        <w:ind w:left="567" w:hanging="567"/>
      </w:pPr>
      <w:r>
        <w:t xml:space="preserve">SMT assess this </w:t>
      </w:r>
      <w:r w:rsidR="009D662A" w:rsidRPr="009D662A">
        <w:t xml:space="preserve">risk </w:t>
      </w:r>
      <w:r>
        <w:t>to be above</w:t>
      </w:r>
      <w:r w:rsidR="009D662A" w:rsidRPr="009D662A">
        <w:t xml:space="preserve"> tolerance on the basis </w:t>
      </w:r>
      <w:r>
        <w:t xml:space="preserve">of </w:t>
      </w:r>
      <w:r w:rsidR="009D662A" w:rsidRPr="009D662A">
        <w:t xml:space="preserve">an ambitious Business Plan </w:t>
      </w:r>
      <w:r w:rsidR="00D45C1E">
        <w:t>coupled with</w:t>
      </w:r>
      <w:r w:rsidR="009D662A" w:rsidRPr="009D662A">
        <w:t xml:space="preserve"> </w:t>
      </w:r>
      <w:r w:rsidR="00D45C1E">
        <w:t>possible</w:t>
      </w:r>
      <w:r w:rsidR="009D662A" w:rsidRPr="009D662A">
        <w:t xml:space="preserve"> </w:t>
      </w:r>
      <w:r w:rsidR="0035498A">
        <w:t xml:space="preserve">resource pressures and changing Departmental demands </w:t>
      </w:r>
      <w:r w:rsidR="000B3D39">
        <w:t xml:space="preserve">that </w:t>
      </w:r>
      <w:r w:rsidR="0035498A">
        <w:t>could impact</w:t>
      </w:r>
      <w:r w:rsidR="009D662A" w:rsidRPr="009D662A">
        <w:t xml:space="preserve"> our ambitions in-year. It is hoped that this risk </w:t>
      </w:r>
      <w:r w:rsidR="0035498A">
        <w:t>will return</w:t>
      </w:r>
      <w:r w:rsidR="009D662A" w:rsidRPr="009D662A">
        <w:t xml:space="preserve"> to tolerance as we progress through the business year and </w:t>
      </w:r>
      <w:r w:rsidR="0035498A">
        <w:t xml:space="preserve">more </w:t>
      </w:r>
      <w:r>
        <w:t>certainty</w:t>
      </w:r>
      <w:r w:rsidR="0035498A">
        <w:t xml:space="preserve"> </w:t>
      </w:r>
      <w:r>
        <w:t>as</w:t>
      </w:r>
      <w:r w:rsidR="0035498A">
        <w:t xml:space="preserve"> resourcing and </w:t>
      </w:r>
      <w:r>
        <w:t>departmental priorities crystalise</w:t>
      </w:r>
      <w:r w:rsidR="009D662A" w:rsidRPr="009D662A">
        <w:t>.</w:t>
      </w:r>
    </w:p>
    <w:p w14:paraId="6544EAA6" w14:textId="77777777" w:rsidR="003870D6" w:rsidRDefault="003870D6" w:rsidP="009C54BC">
      <w:pPr>
        <w:pStyle w:val="ListParagraph"/>
        <w:ind w:left="567" w:hanging="567"/>
      </w:pPr>
    </w:p>
    <w:p w14:paraId="435C3011" w14:textId="77777777" w:rsidR="00552645" w:rsidRDefault="00552645" w:rsidP="009A6B23">
      <w:pPr>
        <w:pStyle w:val="ListParagraph"/>
        <w:spacing w:line="320" w:lineRule="exact"/>
        <w:ind w:left="510"/>
      </w:pPr>
    </w:p>
    <w:p w14:paraId="727C1559" w14:textId="505849F6" w:rsidR="008E2A3E" w:rsidRDefault="008E2A3E" w:rsidP="00657316">
      <w:pPr>
        <w:pStyle w:val="ListParagraph"/>
        <w:spacing w:line="320" w:lineRule="exact"/>
        <w:ind w:left="510"/>
      </w:pPr>
    </w:p>
    <w:p w14:paraId="661A3E74" w14:textId="77777777" w:rsidR="008E2A3E" w:rsidRDefault="008E2A3E">
      <w:pPr>
        <w:spacing w:after="200" w:line="276" w:lineRule="auto"/>
      </w:pPr>
      <w:r>
        <w:br w:type="page"/>
      </w:r>
    </w:p>
    <w:p w14:paraId="2C0A4958" w14:textId="77777777" w:rsidR="009C54BC" w:rsidRDefault="009C54BC" w:rsidP="00291AAD">
      <w:pPr>
        <w:pStyle w:val="NumberedlistHTA"/>
        <w:numPr>
          <w:ilvl w:val="0"/>
          <w:numId w:val="0"/>
        </w:numPr>
        <w:ind w:left="360" w:hanging="360"/>
        <w:rPr>
          <w:b/>
          <w:sz w:val="28"/>
          <w:szCs w:val="28"/>
        </w:rPr>
        <w:sectPr w:rsidR="009C54BC" w:rsidSect="006D7DE9">
          <w:headerReference w:type="first" r:id="rId12"/>
          <w:pgSz w:w="11906" w:h="16838"/>
          <w:pgMar w:top="1440" w:right="1440" w:bottom="1440" w:left="1440" w:header="709" w:footer="709" w:gutter="0"/>
          <w:cols w:space="708"/>
          <w:titlePg/>
          <w:docGrid w:linePitch="360"/>
        </w:sectPr>
      </w:pPr>
    </w:p>
    <w:p w14:paraId="24F2BF21" w14:textId="27A4F091" w:rsidR="00291AAD" w:rsidRPr="00222640" w:rsidRDefault="00291AAD" w:rsidP="00291AAD">
      <w:pPr>
        <w:pStyle w:val="NumberedlistHTA"/>
        <w:numPr>
          <w:ilvl w:val="0"/>
          <w:numId w:val="0"/>
        </w:numPr>
        <w:ind w:left="360" w:hanging="360"/>
        <w:rPr>
          <w:b/>
          <w:sz w:val="28"/>
          <w:szCs w:val="28"/>
        </w:rPr>
      </w:pPr>
      <w:r w:rsidRPr="00222640">
        <w:rPr>
          <w:b/>
          <w:sz w:val="28"/>
          <w:szCs w:val="28"/>
        </w:rPr>
        <w:t>Annex A</w:t>
      </w:r>
    </w:p>
    <w:p w14:paraId="0F9B0ADD" w14:textId="77777777" w:rsidR="00291AAD" w:rsidRPr="00222640" w:rsidRDefault="00291AAD" w:rsidP="00291AAD">
      <w:pPr>
        <w:pStyle w:val="Heading5"/>
        <w:pBdr>
          <w:top w:val="single" w:sz="36" w:space="1" w:color="auto"/>
        </w:pBdr>
        <w:spacing w:after="0"/>
      </w:pPr>
      <w:r w:rsidRPr="00222640">
        <w:t>Strategic risk register 2023/24</w:t>
      </w:r>
    </w:p>
    <w:p w14:paraId="49FC8AC3" w14:textId="77777777" w:rsidR="00291AAD" w:rsidRDefault="00291AAD" w:rsidP="00291AAD">
      <w:pPr>
        <w:pStyle w:val="Heading5"/>
        <w:pBdr>
          <w:top w:val="single" w:sz="36" w:space="1" w:color="auto"/>
        </w:pBdr>
        <w:spacing w:after="0"/>
      </w:pPr>
      <w:r w:rsidRPr="00C22597">
        <w:t xml:space="preserve">Risk summary: residual risks </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4A0" w:firstRow="1" w:lastRow="0" w:firstColumn="1" w:lastColumn="0" w:noHBand="0" w:noVBand="1"/>
      </w:tblPr>
      <w:tblGrid>
        <w:gridCol w:w="2411"/>
        <w:gridCol w:w="1701"/>
        <w:gridCol w:w="1275"/>
        <w:gridCol w:w="1560"/>
        <w:gridCol w:w="1275"/>
        <w:gridCol w:w="1418"/>
        <w:gridCol w:w="1276"/>
      </w:tblGrid>
      <w:tr w:rsidR="00291AAD" w:rsidRPr="00DB0497" w14:paraId="0AAEADFF" w14:textId="77777777" w:rsidTr="00F2738E">
        <w:trPr>
          <w:tblHeader/>
        </w:trPr>
        <w:tc>
          <w:tcPr>
            <w:tcW w:w="2411" w:type="dxa"/>
            <w:hideMark/>
          </w:tcPr>
          <w:p w14:paraId="786449CE" w14:textId="77777777" w:rsidR="00291AAD" w:rsidRPr="006776F7" w:rsidRDefault="00291AAD" w:rsidP="00F2738E">
            <w:pPr>
              <w:spacing w:before="60" w:after="40"/>
              <w:ind w:left="113"/>
              <w:rPr>
                <w:rFonts w:eastAsia="Calibri"/>
                <w:b/>
              </w:rPr>
            </w:pPr>
            <w:r w:rsidRPr="006776F7">
              <w:rPr>
                <w:rFonts w:eastAsia="Calibri"/>
                <w:b/>
              </w:rPr>
              <w:t>Risk area</w:t>
            </w:r>
          </w:p>
        </w:tc>
        <w:tc>
          <w:tcPr>
            <w:tcW w:w="1701" w:type="dxa"/>
            <w:hideMark/>
          </w:tcPr>
          <w:p w14:paraId="3A70646A" w14:textId="77777777" w:rsidR="00291AAD" w:rsidRPr="006776F7" w:rsidRDefault="00291AAD" w:rsidP="00F2738E">
            <w:pPr>
              <w:spacing w:before="60" w:after="40"/>
              <w:ind w:left="113" w:right="113"/>
              <w:rPr>
                <w:rFonts w:eastAsia="Calibri"/>
                <w:b/>
              </w:rPr>
            </w:pPr>
            <w:r w:rsidRPr="006776F7">
              <w:rPr>
                <w:rFonts w:eastAsia="Calibri"/>
                <w:b/>
              </w:rPr>
              <w:t>Strategy link</w:t>
            </w:r>
            <w:r w:rsidRPr="006776F7">
              <w:rPr>
                <w:rFonts w:eastAsia="Calibri"/>
                <w:b/>
                <w:vertAlign w:val="superscript"/>
              </w:rPr>
              <w:t>*</w:t>
            </w:r>
          </w:p>
        </w:tc>
        <w:tc>
          <w:tcPr>
            <w:tcW w:w="1275" w:type="dxa"/>
            <w:hideMark/>
          </w:tcPr>
          <w:p w14:paraId="04C904A9" w14:textId="77777777" w:rsidR="00291AAD" w:rsidRPr="006776F7" w:rsidRDefault="00291AAD" w:rsidP="00F2738E">
            <w:pPr>
              <w:spacing w:before="60" w:after="40"/>
              <w:ind w:left="113" w:right="113"/>
              <w:rPr>
                <w:rFonts w:eastAsia="Calibri"/>
                <w:b/>
              </w:rPr>
            </w:pPr>
            <w:r w:rsidRPr="006776F7">
              <w:rPr>
                <w:rFonts w:eastAsia="Calibri"/>
                <w:b/>
              </w:rPr>
              <w:t>Residual risk</w:t>
            </w:r>
          </w:p>
        </w:tc>
        <w:tc>
          <w:tcPr>
            <w:tcW w:w="1560" w:type="dxa"/>
          </w:tcPr>
          <w:p w14:paraId="2EC48C2E" w14:textId="77777777" w:rsidR="00291AAD" w:rsidRPr="006776F7" w:rsidRDefault="00291AAD" w:rsidP="00F2738E">
            <w:pPr>
              <w:spacing w:before="60" w:after="40"/>
              <w:ind w:left="113" w:right="113"/>
              <w:rPr>
                <w:rFonts w:eastAsia="Calibri"/>
                <w:b/>
              </w:rPr>
            </w:pPr>
            <w:r>
              <w:rPr>
                <w:rFonts w:eastAsia="Calibri"/>
                <w:b/>
              </w:rPr>
              <w:t>Risk owner</w:t>
            </w:r>
          </w:p>
        </w:tc>
        <w:tc>
          <w:tcPr>
            <w:tcW w:w="1275" w:type="dxa"/>
          </w:tcPr>
          <w:p w14:paraId="454290CF" w14:textId="77777777" w:rsidR="00291AAD" w:rsidRPr="006776F7" w:rsidRDefault="00291AAD" w:rsidP="00F2738E">
            <w:pPr>
              <w:spacing w:before="60" w:after="40"/>
              <w:ind w:left="113" w:right="113"/>
              <w:rPr>
                <w:rFonts w:eastAsia="Calibri"/>
                <w:b/>
              </w:rPr>
            </w:pPr>
            <w:r w:rsidRPr="006776F7">
              <w:rPr>
                <w:rFonts w:eastAsia="Calibri"/>
                <w:b/>
              </w:rPr>
              <w:t>Status</w:t>
            </w:r>
          </w:p>
        </w:tc>
        <w:tc>
          <w:tcPr>
            <w:tcW w:w="1418" w:type="dxa"/>
          </w:tcPr>
          <w:p w14:paraId="25BA35B5" w14:textId="77777777" w:rsidR="00291AAD" w:rsidRDefault="00291AAD" w:rsidP="00F2738E">
            <w:pPr>
              <w:spacing w:before="60" w:after="40"/>
              <w:ind w:left="113" w:right="113"/>
              <w:rPr>
                <w:rFonts w:eastAsia="Calibri"/>
                <w:b/>
              </w:rPr>
            </w:pPr>
            <w:r>
              <w:rPr>
                <w:rFonts w:eastAsia="Calibri"/>
                <w:b/>
              </w:rPr>
              <w:t>Tolerance</w:t>
            </w:r>
          </w:p>
        </w:tc>
        <w:tc>
          <w:tcPr>
            <w:tcW w:w="1276" w:type="dxa"/>
            <w:hideMark/>
          </w:tcPr>
          <w:p w14:paraId="73AB38CB" w14:textId="77777777" w:rsidR="00291AAD" w:rsidRPr="006776F7" w:rsidRDefault="00291AAD" w:rsidP="00F2738E">
            <w:pPr>
              <w:spacing w:before="60" w:after="40"/>
              <w:ind w:left="113" w:right="113"/>
              <w:rPr>
                <w:rFonts w:eastAsia="Calibri"/>
                <w:b/>
              </w:rPr>
            </w:pPr>
            <w:r w:rsidRPr="006776F7">
              <w:rPr>
                <w:rFonts w:eastAsia="Calibri"/>
                <w:b/>
              </w:rPr>
              <w:t>Trend</w:t>
            </w:r>
            <w:r w:rsidRPr="006776F7">
              <w:rPr>
                <w:rFonts w:eastAsia="Calibri"/>
                <w:b/>
                <w:vertAlign w:val="superscript"/>
              </w:rPr>
              <w:t>**</w:t>
            </w:r>
          </w:p>
        </w:tc>
      </w:tr>
      <w:tr w:rsidR="00291AAD" w:rsidRPr="00DB0497" w14:paraId="150C518A" w14:textId="77777777" w:rsidTr="00F2738E">
        <w:trPr>
          <w:trHeight w:val="1666"/>
        </w:trPr>
        <w:tc>
          <w:tcPr>
            <w:tcW w:w="2411" w:type="dxa"/>
            <w:shd w:val="clear" w:color="auto" w:fill="F2F2F2" w:themeFill="background1" w:themeFillShade="F2"/>
          </w:tcPr>
          <w:p w14:paraId="6A55D8FD" w14:textId="77777777" w:rsidR="00291AAD" w:rsidRPr="006776F7" w:rsidRDefault="00291AAD" w:rsidP="00F2738E">
            <w:pPr>
              <w:spacing w:before="60" w:after="40"/>
              <w:ind w:left="113" w:right="113"/>
              <w:rPr>
                <w:rFonts w:eastAsia="Calibri"/>
              </w:rPr>
            </w:pPr>
            <w:r w:rsidRPr="006776F7">
              <w:rPr>
                <w:rFonts w:eastAsia="Calibri"/>
              </w:rPr>
              <w:t>R1: Failure to regulate appropriately</w:t>
            </w:r>
          </w:p>
        </w:tc>
        <w:tc>
          <w:tcPr>
            <w:tcW w:w="1701" w:type="dxa"/>
            <w:shd w:val="clear" w:color="auto" w:fill="F2F2F2" w:themeFill="background1" w:themeFillShade="F2"/>
          </w:tcPr>
          <w:p w14:paraId="7A725B71" w14:textId="77777777" w:rsidR="00291AAD" w:rsidRPr="006776F7" w:rsidRDefault="00291AAD" w:rsidP="00F2738E">
            <w:pPr>
              <w:spacing w:before="60" w:after="40"/>
              <w:ind w:left="113" w:right="113"/>
              <w:rPr>
                <w:rFonts w:eastAsia="Calibri"/>
              </w:rPr>
            </w:pPr>
            <w:r w:rsidRPr="006776F7">
              <w:rPr>
                <w:rFonts w:eastAsia="Calibri"/>
              </w:rPr>
              <w:t>Delivery (a-d &amp; f) and Development (a-d) objectives</w:t>
            </w:r>
          </w:p>
        </w:tc>
        <w:tc>
          <w:tcPr>
            <w:tcW w:w="1275" w:type="dxa"/>
            <w:shd w:val="clear" w:color="auto" w:fill="FFFF00"/>
          </w:tcPr>
          <w:p w14:paraId="102AEFB8" w14:textId="77777777" w:rsidR="00291AAD" w:rsidRPr="006776F7" w:rsidRDefault="00291AAD" w:rsidP="00F2738E">
            <w:pPr>
              <w:tabs>
                <w:tab w:val="left" w:pos="373"/>
                <w:tab w:val="left" w:pos="656"/>
              </w:tabs>
              <w:spacing w:before="60" w:after="40"/>
              <w:ind w:left="113" w:right="113"/>
              <w:rPr>
                <w:rFonts w:eastAsia="Calibri"/>
                <w:b/>
              </w:rPr>
            </w:pPr>
            <w:r>
              <w:rPr>
                <w:rFonts w:eastAsia="Calibri"/>
                <w:b/>
              </w:rPr>
              <w:t>9</w:t>
            </w:r>
            <w:r w:rsidRPr="006776F7">
              <w:rPr>
                <w:rFonts w:eastAsia="Calibri"/>
                <w:b/>
              </w:rPr>
              <w:t xml:space="preserve"> – </w:t>
            </w:r>
            <w:r>
              <w:rPr>
                <w:rFonts w:eastAsia="Calibri"/>
                <w:b/>
              </w:rPr>
              <w:t>Medium</w:t>
            </w:r>
          </w:p>
        </w:tc>
        <w:tc>
          <w:tcPr>
            <w:tcW w:w="1560" w:type="dxa"/>
            <w:shd w:val="clear" w:color="auto" w:fill="F2F2F2" w:themeFill="background1" w:themeFillShade="F2"/>
          </w:tcPr>
          <w:p w14:paraId="5A3B2E73" w14:textId="77777777" w:rsidR="00291AAD" w:rsidRPr="00B361EB" w:rsidRDefault="00291AAD" w:rsidP="00F2738E">
            <w:pPr>
              <w:spacing w:before="60" w:after="40"/>
              <w:ind w:left="113" w:right="113"/>
              <w:rPr>
                <w:rFonts w:eastAsia="Calibri"/>
              </w:rPr>
            </w:pPr>
            <w:r w:rsidRPr="00B361EB">
              <w:rPr>
                <w:rFonts w:eastAsia="Calibri"/>
              </w:rPr>
              <w:t>Director of Regulation</w:t>
            </w:r>
          </w:p>
        </w:tc>
        <w:tc>
          <w:tcPr>
            <w:tcW w:w="1275" w:type="dxa"/>
            <w:shd w:val="clear" w:color="auto" w:fill="F2F2F2" w:themeFill="background1" w:themeFillShade="F2"/>
          </w:tcPr>
          <w:p w14:paraId="2B71CBFE" w14:textId="77777777" w:rsidR="00291AAD" w:rsidRPr="006776F7" w:rsidRDefault="00291AAD" w:rsidP="00F2738E">
            <w:pPr>
              <w:spacing w:before="60" w:after="40"/>
              <w:ind w:left="113" w:right="113"/>
              <w:rPr>
                <w:rFonts w:eastAsia="Calibri"/>
              </w:rPr>
            </w:pPr>
            <w:r>
              <w:rPr>
                <w:rFonts w:eastAsia="Calibri"/>
              </w:rPr>
              <w:t xml:space="preserve">Below </w:t>
            </w:r>
            <w:r w:rsidRPr="006776F7">
              <w:rPr>
                <w:rFonts w:eastAsia="Calibri"/>
              </w:rPr>
              <w:t>tolerance</w:t>
            </w:r>
          </w:p>
        </w:tc>
        <w:tc>
          <w:tcPr>
            <w:tcW w:w="1418" w:type="dxa"/>
            <w:shd w:val="clear" w:color="auto" w:fill="F2F2F2" w:themeFill="background1" w:themeFillShade="F2"/>
          </w:tcPr>
          <w:p w14:paraId="47AB9D6C" w14:textId="77777777" w:rsidR="00291AAD" w:rsidRDefault="00291AAD" w:rsidP="00F2738E">
            <w:pPr>
              <w:spacing w:before="60" w:after="40"/>
              <w:ind w:left="113" w:right="113"/>
              <w:rPr>
                <w:rFonts w:ascii="Wingdings" w:eastAsia="Wingdings" w:hAnsi="Wingdings" w:cs="Wingdings"/>
                <w:b/>
                <w:bCs/>
              </w:rPr>
            </w:pPr>
          </w:p>
          <w:p w14:paraId="1DC32362" w14:textId="77777777" w:rsidR="00291AAD" w:rsidRDefault="00291AAD" w:rsidP="00F2738E">
            <w:pPr>
              <w:spacing w:before="60" w:after="40"/>
              <w:ind w:left="113" w:right="113"/>
              <w:rPr>
                <w:rFonts w:ascii="Wingdings" w:eastAsia="Wingdings" w:hAnsi="Wingdings" w:cs="Wingdings"/>
                <w:b/>
                <w:bCs/>
              </w:rPr>
            </w:pPr>
            <w:r>
              <w:rPr>
                <w:rFonts w:eastAsia="Wingdings"/>
                <w:b/>
                <w:bCs/>
              </w:rPr>
              <w:t>10</w:t>
            </w:r>
          </w:p>
        </w:tc>
        <w:tc>
          <w:tcPr>
            <w:tcW w:w="1276" w:type="dxa"/>
            <w:shd w:val="clear" w:color="auto" w:fill="F2F2F2" w:themeFill="background1" w:themeFillShade="F2"/>
          </w:tcPr>
          <w:p w14:paraId="623136B3" w14:textId="77777777" w:rsidR="00291AAD" w:rsidRPr="006776F7" w:rsidRDefault="00291AAD" w:rsidP="00F2738E">
            <w:pPr>
              <w:spacing w:before="60" w:after="40"/>
              <w:ind w:left="113" w:right="113"/>
              <w:rPr>
                <w:rFonts w:eastAsia="Calibri"/>
              </w:rPr>
            </w:pPr>
            <w:r w:rsidRPr="006776F7">
              <w:rPr>
                <w:rFonts w:ascii="Wingdings" w:eastAsia="Wingdings" w:hAnsi="Wingdings" w:cs="Wingdings"/>
              </w:rPr>
              <w:t>òóóó</w:t>
            </w:r>
          </w:p>
        </w:tc>
      </w:tr>
      <w:tr w:rsidR="00291AAD" w:rsidRPr="00DB0497" w14:paraId="6B804B89" w14:textId="77777777" w:rsidTr="00F2738E">
        <w:tc>
          <w:tcPr>
            <w:tcW w:w="2411" w:type="dxa"/>
            <w:shd w:val="clear" w:color="auto" w:fill="F2F2F2" w:themeFill="background1" w:themeFillShade="F2"/>
          </w:tcPr>
          <w:p w14:paraId="14A0CCD0" w14:textId="77777777" w:rsidR="00291AAD" w:rsidRPr="006776F7" w:rsidRDefault="00291AAD" w:rsidP="00F2738E">
            <w:pPr>
              <w:spacing w:before="60" w:after="40"/>
              <w:ind w:left="113" w:right="113"/>
              <w:rPr>
                <w:rFonts w:eastAsia="Calibri"/>
              </w:rPr>
            </w:pPr>
            <w:r w:rsidRPr="006776F7">
              <w:rPr>
                <w:rFonts w:eastAsia="Calibri"/>
              </w:rPr>
              <w:t>R2: Failure to manage an incident</w:t>
            </w:r>
          </w:p>
        </w:tc>
        <w:tc>
          <w:tcPr>
            <w:tcW w:w="1701" w:type="dxa"/>
            <w:shd w:val="clear" w:color="auto" w:fill="F2F2F2" w:themeFill="background1" w:themeFillShade="F2"/>
          </w:tcPr>
          <w:p w14:paraId="77DE0B72" w14:textId="77777777" w:rsidR="00291AAD" w:rsidRPr="006776F7" w:rsidRDefault="00291AAD" w:rsidP="00F2738E">
            <w:pPr>
              <w:spacing w:before="60" w:after="40"/>
              <w:ind w:left="113" w:right="113"/>
              <w:rPr>
                <w:rFonts w:eastAsia="Calibri"/>
              </w:rPr>
            </w:pPr>
            <w:r w:rsidRPr="006776F7">
              <w:rPr>
                <w:rFonts w:eastAsia="Calibri"/>
              </w:rPr>
              <w:t>Delivery, Development and Deployment objectives</w:t>
            </w:r>
          </w:p>
        </w:tc>
        <w:tc>
          <w:tcPr>
            <w:tcW w:w="1275" w:type="dxa"/>
            <w:shd w:val="clear" w:color="auto" w:fill="FFFF00"/>
          </w:tcPr>
          <w:p w14:paraId="1C6A03FC" w14:textId="3F19E2E7" w:rsidR="00291AAD" w:rsidRPr="006776F7" w:rsidRDefault="00291AAD" w:rsidP="00F2738E">
            <w:pPr>
              <w:tabs>
                <w:tab w:val="left" w:pos="373"/>
                <w:tab w:val="left" w:pos="656"/>
              </w:tabs>
              <w:spacing w:before="60" w:after="40"/>
              <w:ind w:left="113" w:right="113"/>
              <w:rPr>
                <w:rFonts w:eastAsia="Calibri"/>
                <w:b/>
              </w:rPr>
            </w:pPr>
            <w:r>
              <w:rPr>
                <w:rFonts w:eastAsia="Calibri"/>
                <w:b/>
              </w:rPr>
              <w:t>6</w:t>
            </w:r>
            <w:r w:rsidRPr="006776F7">
              <w:rPr>
                <w:rFonts w:eastAsia="Calibri"/>
                <w:b/>
              </w:rPr>
              <w:t xml:space="preserve"> </w:t>
            </w:r>
            <w:r w:rsidR="00D624F4">
              <w:rPr>
                <w:rFonts w:eastAsia="Calibri"/>
                <w:b/>
              </w:rPr>
              <w:t>–</w:t>
            </w:r>
            <w:r w:rsidRPr="006776F7">
              <w:rPr>
                <w:rFonts w:eastAsia="Calibri"/>
                <w:b/>
              </w:rPr>
              <w:t xml:space="preserve"> Medium</w:t>
            </w:r>
          </w:p>
        </w:tc>
        <w:tc>
          <w:tcPr>
            <w:tcW w:w="1560" w:type="dxa"/>
            <w:shd w:val="clear" w:color="auto" w:fill="F2F2F2" w:themeFill="background1" w:themeFillShade="F2"/>
          </w:tcPr>
          <w:p w14:paraId="2A279FDB" w14:textId="77777777" w:rsidR="00291AAD" w:rsidRPr="00B361EB" w:rsidRDefault="00291AAD" w:rsidP="00F2738E">
            <w:pPr>
              <w:spacing w:before="60" w:after="40"/>
              <w:ind w:left="113" w:right="113"/>
              <w:rPr>
                <w:rFonts w:eastAsia="Calibri"/>
              </w:rPr>
            </w:pPr>
            <w:r w:rsidRPr="00B361EB">
              <w:rPr>
                <w:rFonts w:eastAsia="Calibri"/>
              </w:rPr>
              <w:t>Director of Regulation</w:t>
            </w:r>
          </w:p>
        </w:tc>
        <w:tc>
          <w:tcPr>
            <w:tcW w:w="1275" w:type="dxa"/>
            <w:shd w:val="clear" w:color="auto" w:fill="F2F2F2" w:themeFill="background1" w:themeFillShade="F2"/>
          </w:tcPr>
          <w:p w14:paraId="4D2C6F12" w14:textId="77777777" w:rsidR="00291AAD" w:rsidRDefault="00291AAD" w:rsidP="00F2738E">
            <w:pPr>
              <w:spacing w:before="60" w:after="40"/>
              <w:ind w:left="113" w:right="113"/>
              <w:rPr>
                <w:rFonts w:eastAsia="Calibri"/>
              </w:rPr>
            </w:pPr>
            <w:r w:rsidRPr="006776F7">
              <w:rPr>
                <w:rFonts w:eastAsia="Calibri"/>
              </w:rPr>
              <w:t>A</w:t>
            </w:r>
            <w:r>
              <w:rPr>
                <w:rFonts w:eastAsia="Calibri"/>
              </w:rPr>
              <w:t>t</w:t>
            </w:r>
          </w:p>
          <w:p w14:paraId="3CADEF90" w14:textId="77777777" w:rsidR="00291AAD" w:rsidRPr="006776F7" w:rsidRDefault="00291AAD" w:rsidP="00F2738E">
            <w:pPr>
              <w:spacing w:before="60" w:after="40"/>
              <w:ind w:left="113" w:right="113"/>
              <w:rPr>
                <w:rFonts w:eastAsia="Calibri"/>
              </w:rPr>
            </w:pPr>
            <w:r w:rsidRPr="006776F7">
              <w:rPr>
                <w:rFonts w:eastAsia="Calibri"/>
              </w:rPr>
              <w:t>tolerance</w:t>
            </w:r>
          </w:p>
        </w:tc>
        <w:tc>
          <w:tcPr>
            <w:tcW w:w="1418" w:type="dxa"/>
            <w:shd w:val="clear" w:color="auto" w:fill="F2F2F2" w:themeFill="background1" w:themeFillShade="F2"/>
          </w:tcPr>
          <w:p w14:paraId="77CC41F9" w14:textId="77777777" w:rsidR="00291AAD" w:rsidRPr="00653384" w:rsidRDefault="00291AAD" w:rsidP="00F2738E">
            <w:pPr>
              <w:spacing w:before="60" w:after="40"/>
              <w:ind w:left="113" w:right="113"/>
              <w:rPr>
                <w:rFonts w:eastAsia="Wingdings"/>
              </w:rPr>
            </w:pPr>
          </w:p>
          <w:p w14:paraId="720BE56A" w14:textId="77777777" w:rsidR="00291AAD" w:rsidRPr="00653384" w:rsidRDefault="00291AAD" w:rsidP="00F2738E">
            <w:pPr>
              <w:spacing w:before="60" w:after="40"/>
              <w:ind w:left="113" w:right="113"/>
              <w:rPr>
                <w:rFonts w:eastAsia="Wingdings"/>
              </w:rPr>
            </w:pPr>
            <w:r w:rsidRPr="00653384">
              <w:rPr>
                <w:rFonts w:eastAsia="Wingdings"/>
                <w:b/>
                <w:bCs/>
              </w:rPr>
              <w:t>6</w:t>
            </w:r>
          </w:p>
        </w:tc>
        <w:tc>
          <w:tcPr>
            <w:tcW w:w="1276" w:type="dxa"/>
            <w:shd w:val="clear" w:color="auto" w:fill="F2F2F2" w:themeFill="background1" w:themeFillShade="F2"/>
          </w:tcPr>
          <w:p w14:paraId="4D6D0C5E" w14:textId="77777777" w:rsidR="00291AAD" w:rsidRPr="006776F7" w:rsidRDefault="00291AAD" w:rsidP="00F2738E">
            <w:pPr>
              <w:spacing w:before="60" w:after="40"/>
              <w:ind w:left="113" w:right="113"/>
              <w:rPr>
                <w:rFonts w:eastAsia="Calibri"/>
              </w:rPr>
            </w:pPr>
            <w:r w:rsidRPr="006776F7">
              <w:rPr>
                <w:rFonts w:ascii="Wingdings" w:eastAsia="Wingdings" w:hAnsi="Wingdings" w:cs="Wingdings"/>
              </w:rPr>
              <w:t>óóóó</w:t>
            </w:r>
          </w:p>
        </w:tc>
      </w:tr>
      <w:tr w:rsidR="00291AAD" w:rsidRPr="00DB0497" w14:paraId="1A84CD6F" w14:textId="77777777" w:rsidTr="00F2738E">
        <w:tc>
          <w:tcPr>
            <w:tcW w:w="2411" w:type="dxa"/>
            <w:shd w:val="clear" w:color="auto" w:fill="F2F2F2" w:themeFill="background1" w:themeFillShade="F2"/>
          </w:tcPr>
          <w:p w14:paraId="33DEBB5C" w14:textId="77777777" w:rsidR="00291AAD" w:rsidRPr="006776F7" w:rsidRDefault="00291AAD" w:rsidP="00F2738E">
            <w:pPr>
              <w:spacing w:before="60" w:after="40"/>
              <w:ind w:left="113" w:right="113"/>
              <w:rPr>
                <w:rFonts w:eastAsia="Calibri"/>
              </w:rPr>
            </w:pPr>
            <w:r w:rsidRPr="006776F7">
              <w:rPr>
                <w:rFonts w:eastAsia="Calibri"/>
              </w:rPr>
              <w:t>R3: Failure to manage expectations of regulation</w:t>
            </w:r>
          </w:p>
        </w:tc>
        <w:tc>
          <w:tcPr>
            <w:tcW w:w="1701" w:type="dxa"/>
            <w:shd w:val="clear" w:color="auto" w:fill="F2F2F2" w:themeFill="background1" w:themeFillShade="F2"/>
          </w:tcPr>
          <w:p w14:paraId="02C6842E" w14:textId="77777777" w:rsidR="00291AAD" w:rsidRPr="006776F7" w:rsidRDefault="00291AAD" w:rsidP="00F2738E">
            <w:pPr>
              <w:spacing w:before="60" w:after="40"/>
              <w:ind w:left="113" w:right="113"/>
              <w:rPr>
                <w:rFonts w:eastAsia="Calibri"/>
              </w:rPr>
            </w:pPr>
            <w:r w:rsidRPr="006776F7">
              <w:rPr>
                <w:rFonts w:eastAsia="Calibri"/>
              </w:rPr>
              <w:t>Delivery e) and Development c)</w:t>
            </w:r>
          </w:p>
        </w:tc>
        <w:tc>
          <w:tcPr>
            <w:tcW w:w="1275" w:type="dxa"/>
            <w:shd w:val="clear" w:color="auto" w:fill="FFFF00"/>
          </w:tcPr>
          <w:p w14:paraId="14C97E54" w14:textId="4BF3D483" w:rsidR="00291AAD" w:rsidRPr="006776F7" w:rsidRDefault="00291AAD" w:rsidP="00F2738E">
            <w:pPr>
              <w:tabs>
                <w:tab w:val="left" w:pos="373"/>
                <w:tab w:val="left" w:pos="656"/>
              </w:tabs>
              <w:spacing w:before="60" w:after="40"/>
              <w:ind w:left="113" w:right="113"/>
              <w:rPr>
                <w:rFonts w:eastAsia="Calibri"/>
                <w:b/>
              </w:rPr>
            </w:pPr>
            <w:r>
              <w:rPr>
                <w:rFonts w:eastAsia="Calibri"/>
                <w:b/>
              </w:rPr>
              <w:t>9</w:t>
            </w:r>
            <w:r w:rsidRPr="006776F7">
              <w:rPr>
                <w:rFonts w:eastAsia="Calibri"/>
                <w:b/>
              </w:rPr>
              <w:t xml:space="preserve"> </w:t>
            </w:r>
            <w:r w:rsidR="00D624F4">
              <w:rPr>
                <w:rFonts w:eastAsia="Calibri"/>
                <w:b/>
              </w:rPr>
              <w:t>–</w:t>
            </w:r>
            <w:r w:rsidRPr="006776F7">
              <w:rPr>
                <w:rFonts w:eastAsia="Calibri"/>
                <w:b/>
              </w:rPr>
              <w:t xml:space="preserve"> Medium</w:t>
            </w:r>
          </w:p>
        </w:tc>
        <w:tc>
          <w:tcPr>
            <w:tcW w:w="1560" w:type="dxa"/>
            <w:shd w:val="clear" w:color="auto" w:fill="F2F2F2" w:themeFill="background1" w:themeFillShade="F2"/>
          </w:tcPr>
          <w:p w14:paraId="1100170A" w14:textId="77777777" w:rsidR="00291AAD" w:rsidRPr="00B361EB" w:rsidRDefault="00291AAD" w:rsidP="00F2738E">
            <w:pPr>
              <w:spacing w:before="60" w:after="40"/>
              <w:ind w:left="113" w:right="113"/>
              <w:rPr>
                <w:rFonts w:eastAsia="Calibri"/>
              </w:rPr>
            </w:pPr>
            <w:r w:rsidRPr="00B361EB">
              <w:rPr>
                <w:rFonts w:eastAsia="Calibri"/>
              </w:rPr>
              <w:t xml:space="preserve">Director of </w:t>
            </w:r>
            <w:r>
              <w:rPr>
                <w:rFonts w:eastAsia="Calibri"/>
              </w:rPr>
              <w:t>Data, Technology &amp; Development</w:t>
            </w:r>
          </w:p>
        </w:tc>
        <w:tc>
          <w:tcPr>
            <w:tcW w:w="1275" w:type="dxa"/>
            <w:shd w:val="clear" w:color="auto" w:fill="F2F2F2" w:themeFill="background1" w:themeFillShade="F2"/>
          </w:tcPr>
          <w:p w14:paraId="4B809FCB" w14:textId="77777777" w:rsidR="00291AAD" w:rsidRPr="006776F7" w:rsidRDefault="00291AAD" w:rsidP="00F2738E">
            <w:pPr>
              <w:spacing w:before="60" w:after="40"/>
              <w:ind w:left="113" w:right="113"/>
              <w:rPr>
                <w:rFonts w:eastAsia="Calibri"/>
              </w:rPr>
            </w:pPr>
            <w:r>
              <w:rPr>
                <w:rFonts w:eastAsia="Calibri"/>
              </w:rPr>
              <w:t>At</w:t>
            </w:r>
            <w:r w:rsidRPr="5F71A3A2">
              <w:rPr>
                <w:rFonts w:eastAsia="Calibri"/>
              </w:rPr>
              <w:t xml:space="preserve"> </w:t>
            </w:r>
            <w:r w:rsidRPr="006776F7">
              <w:rPr>
                <w:rFonts w:eastAsia="Calibri"/>
              </w:rPr>
              <w:t>tolerance</w:t>
            </w:r>
          </w:p>
          <w:p w14:paraId="207EFB53" w14:textId="77777777" w:rsidR="00291AAD" w:rsidRPr="006776F7" w:rsidRDefault="00291AAD" w:rsidP="00F2738E">
            <w:pPr>
              <w:spacing w:before="60" w:after="40"/>
              <w:ind w:left="113" w:right="113"/>
              <w:rPr>
                <w:rFonts w:eastAsia="Calibri"/>
              </w:rPr>
            </w:pPr>
          </w:p>
        </w:tc>
        <w:tc>
          <w:tcPr>
            <w:tcW w:w="1418" w:type="dxa"/>
            <w:shd w:val="clear" w:color="auto" w:fill="F2F2F2" w:themeFill="background1" w:themeFillShade="F2"/>
          </w:tcPr>
          <w:p w14:paraId="427C6B0E" w14:textId="77777777" w:rsidR="00291AAD" w:rsidRDefault="00291AAD" w:rsidP="00F2738E">
            <w:pPr>
              <w:spacing w:before="60" w:after="40"/>
              <w:ind w:left="113" w:right="113"/>
              <w:rPr>
                <w:rFonts w:eastAsia="Wingdings"/>
              </w:rPr>
            </w:pPr>
          </w:p>
          <w:p w14:paraId="3A23D200" w14:textId="77777777" w:rsidR="00291AAD" w:rsidRDefault="00291AAD" w:rsidP="00F2738E">
            <w:pPr>
              <w:spacing w:before="60" w:after="40"/>
              <w:ind w:left="113" w:right="113"/>
              <w:rPr>
                <w:rFonts w:eastAsia="Wingdings"/>
                <w:b/>
                <w:bCs/>
              </w:rPr>
            </w:pPr>
            <w:r>
              <w:rPr>
                <w:rFonts w:eastAsia="Wingdings"/>
                <w:b/>
                <w:bCs/>
              </w:rPr>
              <w:t>9</w:t>
            </w:r>
          </w:p>
          <w:p w14:paraId="0B3C22A5" w14:textId="77777777" w:rsidR="00291AAD" w:rsidRDefault="00291AAD" w:rsidP="00F2738E">
            <w:pPr>
              <w:spacing w:before="60" w:after="40"/>
              <w:ind w:left="113" w:right="113"/>
              <w:rPr>
                <w:rFonts w:eastAsia="Wingdings"/>
              </w:rPr>
            </w:pPr>
          </w:p>
        </w:tc>
        <w:tc>
          <w:tcPr>
            <w:tcW w:w="1276" w:type="dxa"/>
            <w:shd w:val="clear" w:color="auto" w:fill="F2F2F2" w:themeFill="background1" w:themeFillShade="F2"/>
          </w:tcPr>
          <w:p w14:paraId="1D09C2D9" w14:textId="77777777" w:rsidR="00291AAD" w:rsidRPr="006776F7" w:rsidRDefault="00291AAD" w:rsidP="00F2738E">
            <w:pPr>
              <w:spacing w:before="60" w:after="40"/>
              <w:ind w:left="113" w:right="113"/>
              <w:rPr>
                <w:rFonts w:eastAsia="Calibri"/>
              </w:rPr>
            </w:pPr>
            <w:r w:rsidRPr="006776F7">
              <w:rPr>
                <w:rFonts w:ascii="Wingdings" w:eastAsia="Wingdings" w:hAnsi="Wingdings" w:cs="Wingdings"/>
              </w:rPr>
              <w:t>óóóó</w:t>
            </w:r>
          </w:p>
        </w:tc>
      </w:tr>
      <w:tr w:rsidR="00291AAD" w:rsidRPr="00DB0497" w14:paraId="165131A8" w14:textId="77777777" w:rsidTr="00F2738E">
        <w:tc>
          <w:tcPr>
            <w:tcW w:w="2411" w:type="dxa"/>
            <w:shd w:val="clear" w:color="auto" w:fill="F2F2F2" w:themeFill="background1" w:themeFillShade="F2"/>
          </w:tcPr>
          <w:p w14:paraId="73C9E38D" w14:textId="77777777" w:rsidR="00291AAD" w:rsidRPr="006776F7" w:rsidRDefault="00291AAD" w:rsidP="00F2738E">
            <w:pPr>
              <w:spacing w:before="60" w:after="40"/>
              <w:ind w:left="113" w:right="113"/>
              <w:rPr>
                <w:rFonts w:eastAsia="Calibri"/>
              </w:rPr>
            </w:pPr>
            <w:r w:rsidRPr="006776F7">
              <w:rPr>
                <w:rFonts w:eastAsia="Calibri"/>
              </w:rPr>
              <w:t xml:space="preserve">R4: Failure to utilise our </w:t>
            </w:r>
            <w:r w:rsidRPr="1CFD7198">
              <w:rPr>
                <w:rFonts w:eastAsia="Calibri"/>
              </w:rPr>
              <w:t xml:space="preserve">staff </w:t>
            </w:r>
            <w:r w:rsidRPr="006776F7">
              <w:rPr>
                <w:rFonts w:eastAsia="Calibri"/>
              </w:rPr>
              <w:t xml:space="preserve">capabilities effectively </w:t>
            </w:r>
          </w:p>
        </w:tc>
        <w:tc>
          <w:tcPr>
            <w:tcW w:w="1701" w:type="dxa"/>
            <w:shd w:val="clear" w:color="auto" w:fill="F2F2F2" w:themeFill="background1" w:themeFillShade="F2"/>
          </w:tcPr>
          <w:p w14:paraId="232B9C53" w14:textId="77777777" w:rsidR="00291AAD" w:rsidRPr="006776F7" w:rsidRDefault="00291AAD" w:rsidP="00F2738E">
            <w:pPr>
              <w:spacing w:before="60" w:after="40"/>
              <w:ind w:left="113" w:right="113"/>
              <w:rPr>
                <w:rFonts w:eastAsia="Calibri"/>
              </w:rPr>
            </w:pPr>
            <w:r w:rsidRPr="006776F7">
              <w:rPr>
                <w:rFonts w:eastAsia="Calibri"/>
              </w:rPr>
              <w:t>Delivery, Development and Deployment (a, c</w:t>
            </w:r>
            <w:r w:rsidRPr="41BBBECB">
              <w:rPr>
                <w:rFonts w:eastAsia="Calibri"/>
              </w:rPr>
              <w:t>,</w:t>
            </w:r>
            <w:r w:rsidRPr="006776F7">
              <w:rPr>
                <w:rFonts w:eastAsia="Calibri"/>
              </w:rPr>
              <w:t xml:space="preserve"> and d)</w:t>
            </w:r>
          </w:p>
        </w:tc>
        <w:tc>
          <w:tcPr>
            <w:tcW w:w="1275" w:type="dxa"/>
            <w:shd w:val="clear" w:color="auto" w:fill="FFC000"/>
          </w:tcPr>
          <w:p w14:paraId="5B18D89E" w14:textId="77777777" w:rsidR="00291AAD" w:rsidRPr="006776F7" w:rsidRDefault="00291AAD" w:rsidP="00F2738E">
            <w:pPr>
              <w:tabs>
                <w:tab w:val="left" w:pos="373"/>
                <w:tab w:val="left" w:pos="656"/>
              </w:tabs>
              <w:spacing w:before="60" w:after="40"/>
              <w:ind w:left="113" w:right="113"/>
              <w:rPr>
                <w:rFonts w:eastAsia="Calibri"/>
                <w:b/>
              </w:rPr>
            </w:pPr>
            <w:r>
              <w:rPr>
                <w:rFonts w:eastAsia="Calibri"/>
                <w:b/>
              </w:rPr>
              <w:t>16</w:t>
            </w:r>
            <w:r w:rsidRPr="006776F7">
              <w:rPr>
                <w:rFonts w:eastAsia="Calibri"/>
                <w:b/>
              </w:rPr>
              <w:t xml:space="preserve"> - </w:t>
            </w:r>
            <w:r>
              <w:rPr>
                <w:rFonts w:eastAsia="Calibri"/>
                <w:b/>
              </w:rPr>
              <w:t xml:space="preserve">High </w:t>
            </w:r>
          </w:p>
        </w:tc>
        <w:tc>
          <w:tcPr>
            <w:tcW w:w="1560" w:type="dxa"/>
            <w:shd w:val="clear" w:color="auto" w:fill="F2F2F2" w:themeFill="background1" w:themeFillShade="F2"/>
          </w:tcPr>
          <w:p w14:paraId="633B15A4" w14:textId="77777777" w:rsidR="00291AAD" w:rsidRPr="00B361EB" w:rsidRDefault="00291AAD" w:rsidP="00F2738E">
            <w:pPr>
              <w:spacing w:before="60" w:after="40"/>
              <w:ind w:left="113" w:right="113"/>
              <w:rPr>
                <w:rFonts w:eastAsia="Calibri"/>
              </w:rPr>
            </w:pPr>
            <w:r>
              <w:rPr>
                <w:rFonts w:eastAsia="Calibri"/>
              </w:rPr>
              <w:t>Director of Resources</w:t>
            </w:r>
          </w:p>
        </w:tc>
        <w:tc>
          <w:tcPr>
            <w:tcW w:w="1275" w:type="dxa"/>
            <w:shd w:val="clear" w:color="auto" w:fill="F2F2F2" w:themeFill="background1" w:themeFillShade="F2"/>
          </w:tcPr>
          <w:p w14:paraId="6CBA1229" w14:textId="77777777" w:rsidR="00291AAD" w:rsidRPr="006776F7" w:rsidRDefault="00291AAD" w:rsidP="00F2738E">
            <w:pPr>
              <w:spacing w:before="60" w:after="40"/>
              <w:ind w:left="113" w:right="113"/>
              <w:rPr>
                <w:rFonts w:eastAsia="Calibri"/>
              </w:rPr>
            </w:pPr>
            <w:r>
              <w:rPr>
                <w:rFonts w:eastAsia="Calibri"/>
              </w:rPr>
              <w:t xml:space="preserve">At </w:t>
            </w:r>
            <w:r w:rsidRPr="006776F7">
              <w:rPr>
                <w:rFonts w:eastAsia="Calibri"/>
              </w:rPr>
              <w:t>tolerance</w:t>
            </w:r>
          </w:p>
        </w:tc>
        <w:tc>
          <w:tcPr>
            <w:tcW w:w="1418" w:type="dxa"/>
            <w:shd w:val="clear" w:color="auto" w:fill="F2F2F2" w:themeFill="background1" w:themeFillShade="F2"/>
          </w:tcPr>
          <w:p w14:paraId="3957AA14" w14:textId="77777777" w:rsidR="00291AAD" w:rsidRDefault="00291AAD" w:rsidP="00F2738E">
            <w:pPr>
              <w:spacing w:before="60" w:after="40"/>
              <w:ind w:left="113" w:right="113"/>
              <w:rPr>
                <w:rFonts w:eastAsia="Wingdings"/>
              </w:rPr>
            </w:pPr>
          </w:p>
          <w:p w14:paraId="73248C6A" w14:textId="77777777" w:rsidR="00291AAD" w:rsidRDefault="00291AAD" w:rsidP="00F2738E">
            <w:pPr>
              <w:spacing w:before="60" w:after="40"/>
              <w:ind w:left="113" w:right="113"/>
              <w:rPr>
                <w:rFonts w:eastAsia="Wingdings"/>
              </w:rPr>
            </w:pPr>
            <w:r>
              <w:rPr>
                <w:rFonts w:eastAsia="Wingdings"/>
                <w:b/>
                <w:bCs/>
              </w:rPr>
              <w:t>9</w:t>
            </w:r>
          </w:p>
        </w:tc>
        <w:tc>
          <w:tcPr>
            <w:tcW w:w="1276" w:type="dxa"/>
            <w:shd w:val="clear" w:color="auto" w:fill="F2F2F2" w:themeFill="background1" w:themeFillShade="F2"/>
          </w:tcPr>
          <w:p w14:paraId="5C2BC5D4" w14:textId="77777777" w:rsidR="00291AAD" w:rsidRPr="006776F7" w:rsidRDefault="00291AAD" w:rsidP="00F2738E">
            <w:pPr>
              <w:spacing w:before="60" w:after="40"/>
              <w:ind w:left="113" w:right="113"/>
              <w:rPr>
                <w:rFonts w:eastAsia="Calibri"/>
              </w:rPr>
            </w:pPr>
            <w:r w:rsidRPr="006776F7">
              <w:rPr>
                <w:rFonts w:ascii="Wingdings" w:eastAsia="Wingdings" w:hAnsi="Wingdings" w:cs="Wingdings"/>
              </w:rPr>
              <w:t>ñóòó</w:t>
            </w:r>
          </w:p>
        </w:tc>
      </w:tr>
      <w:tr w:rsidR="00291AAD" w:rsidRPr="00DB0497" w14:paraId="5A70E605" w14:textId="77777777" w:rsidTr="00F2738E">
        <w:tc>
          <w:tcPr>
            <w:tcW w:w="2411" w:type="dxa"/>
            <w:shd w:val="clear" w:color="auto" w:fill="F2F2F2" w:themeFill="background1" w:themeFillShade="F2"/>
          </w:tcPr>
          <w:p w14:paraId="43EAB320" w14:textId="77777777" w:rsidR="00291AAD" w:rsidRPr="006776F7" w:rsidRDefault="00291AAD" w:rsidP="00F2738E">
            <w:pPr>
              <w:spacing w:before="60" w:after="40"/>
              <w:ind w:left="113" w:right="113"/>
              <w:rPr>
                <w:rFonts w:eastAsia="Calibri"/>
              </w:rPr>
            </w:pPr>
            <w:r w:rsidRPr="006776F7">
              <w:rPr>
                <w:rFonts w:eastAsia="Calibri"/>
              </w:rPr>
              <w:t>R5: Insufficient or ineffective management of financial resources</w:t>
            </w:r>
          </w:p>
        </w:tc>
        <w:tc>
          <w:tcPr>
            <w:tcW w:w="1701" w:type="dxa"/>
            <w:shd w:val="clear" w:color="auto" w:fill="F2F2F2" w:themeFill="background1" w:themeFillShade="F2"/>
          </w:tcPr>
          <w:p w14:paraId="1DE6BC34" w14:textId="77777777" w:rsidR="00291AAD" w:rsidRPr="006776F7" w:rsidRDefault="00291AAD" w:rsidP="00F2738E">
            <w:pPr>
              <w:spacing w:before="60" w:after="40"/>
              <w:ind w:left="113" w:right="113"/>
              <w:rPr>
                <w:rFonts w:eastAsia="Calibri"/>
              </w:rPr>
            </w:pPr>
            <w:r w:rsidRPr="006776F7">
              <w:rPr>
                <w:rFonts w:eastAsia="Calibri"/>
              </w:rPr>
              <w:t>Deployment (b) objective</w:t>
            </w:r>
          </w:p>
        </w:tc>
        <w:tc>
          <w:tcPr>
            <w:tcW w:w="1275" w:type="dxa"/>
            <w:shd w:val="clear" w:color="auto" w:fill="00B0F0"/>
          </w:tcPr>
          <w:p w14:paraId="37CEC7BF" w14:textId="18DF7F1F" w:rsidR="00291AAD" w:rsidRPr="006776F7" w:rsidRDefault="00291AAD" w:rsidP="00F2738E">
            <w:pPr>
              <w:tabs>
                <w:tab w:val="left" w:pos="373"/>
                <w:tab w:val="left" w:pos="656"/>
              </w:tabs>
              <w:spacing w:before="60" w:after="40"/>
              <w:ind w:left="113" w:right="113"/>
              <w:rPr>
                <w:rFonts w:eastAsia="Calibri"/>
                <w:b/>
              </w:rPr>
            </w:pPr>
            <w:r>
              <w:rPr>
                <w:rFonts w:eastAsia="Calibri"/>
                <w:b/>
              </w:rPr>
              <w:t>9</w:t>
            </w:r>
            <w:r w:rsidRPr="006776F7">
              <w:rPr>
                <w:rFonts w:eastAsia="Calibri"/>
                <w:b/>
              </w:rPr>
              <w:t xml:space="preserve"> </w:t>
            </w:r>
            <w:r w:rsidR="00D624F4">
              <w:rPr>
                <w:rFonts w:eastAsia="Calibri"/>
                <w:b/>
              </w:rPr>
              <w:t>–</w:t>
            </w:r>
            <w:r w:rsidRPr="006776F7">
              <w:rPr>
                <w:rFonts w:eastAsia="Calibri"/>
                <w:b/>
              </w:rPr>
              <w:t xml:space="preserve"> </w:t>
            </w:r>
            <w:r>
              <w:rPr>
                <w:rFonts w:eastAsia="Calibri"/>
                <w:b/>
              </w:rPr>
              <w:t>Medium</w:t>
            </w:r>
          </w:p>
        </w:tc>
        <w:tc>
          <w:tcPr>
            <w:tcW w:w="1560" w:type="dxa"/>
            <w:shd w:val="clear" w:color="auto" w:fill="F2F2F2" w:themeFill="background1" w:themeFillShade="F2"/>
          </w:tcPr>
          <w:p w14:paraId="12D1AE5A" w14:textId="77777777" w:rsidR="00291AAD" w:rsidRPr="00B361EB" w:rsidRDefault="00291AAD" w:rsidP="00F2738E">
            <w:pPr>
              <w:spacing w:before="60" w:after="40"/>
              <w:ind w:left="113" w:right="113"/>
              <w:rPr>
                <w:rFonts w:eastAsia="Calibri"/>
              </w:rPr>
            </w:pPr>
            <w:r w:rsidRPr="13393910">
              <w:rPr>
                <w:rFonts w:eastAsia="Calibri"/>
              </w:rPr>
              <w:t>Director of Resources</w:t>
            </w:r>
          </w:p>
        </w:tc>
        <w:tc>
          <w:tcPr>
            <w:tcW w:w="1275" w:type="dxa"/>
            <w:shd w:val="clear" w:color="auto" w:fill="F2F2F2" w:themeFill="background1" w:themeFillShade="F2"/>
          </w:tcPr>
          <w:p w14:paraId="111A5C82" w14:textId="77777777" w:rsidR="00291AAD" w:rsidRPr="006776F7" w:rsidRDefault="00291AAD" w:rsidP="00F2738E">
            <w:pPr>
              <w:spacing w:before="60" w:after="40"/>
              <w:ind w:left="113" w:right="113"/>
              <w:rPr>
                <w:rFonts w:eastAsia="Calibri"/>
              </w:rPr>
            </w:pPr>
            <w:r w:rsidRPr="006776F7">
              <w:rPr>
                <w:rFonts w:eastAsia="Calibri"/>
              </w:rPr>
              <w:t>Above tolerance</w:t>
            </w:r>
          </w:p>
        </w:tc>
        <w:tc>
          <w:tcPr>
            <w:tcW w:w="1418" w:type="dxa"/>
            <w:shd w:val="clear" w:color="auto" w:fill="F2F2F2" w:themeFill="background1" w:themeFillShade="F2"/>
          </w:tcPr>
          <w:p w14:paraId="3B5BA857" w14:textId="77777777" w:rsidR="00291AAD" w:rsidRDefault="00291AAD" w:rsidP="00F2738E">
            <w:pPr>
              <w:spacing w:before="60" w:after="40"/>
              <w:ind w:left="113" w:right="113"/>
              <w:rPr>
                <w:rFonts w:eastAsia="Wingdings"/>
              </w:rPr>
            </w:pPr>
          </w:p>
          <w:p w14:paraId="4655E586" w14:textId="77777777" w:rsidR="00291AAD" w:rsidRDefault="00291AAD" w:rsidP="00F2738E">
            <w:pPr>
              <w:spacing w:before="60" w:after="40"/>
              <w:ind w:left="113" w:right="113"/>
              <w:rPr>
                <w:rFonts w:eastAsia="Wingdings"/>
              </w:rPr>
            </w:pPr>
            <w:r>
              <w:rPr>
                <w:rFonts w:eastAsia="Wingdings"/>
                <w:b/>
                <w:bCs/>
              </w:rPr>
              <w:t>3</w:t>
            </w:r>
          </w:p>
        </w:tc>
        <w:tc>
          <w:tcPr>
            <w:tcW w:w="1276" w:type="dxa"/>
            <w:shd w:val="clear" w:color="auto" w:fill="F2F2F2" w:themeFill="background1" w:themeFillShade="F2"/>
            <w:hideMark/>
          </w:tcPr>
          <w:p w14:paraId="6853304D" w14:textId="77777777" w:rsidR="00291AAD" w:rsidRPr="006776F7" w:rsidRDefault="00291AAD" w:rsidP="00F2738E">
            <w:pPr>
              <w:spacing w:before="60" w:after="40"/>
              <w:ind w:left="113" w:right="113"/>
              <w:rPr>
                <w:rFonts w:eastAsia="Calibri"/>
              </w:rPr>
            </w:pPr>
            <w:r w:rsidRPr="006776F7">
              <w:rPr>
                <w:rFonts w:ascii="Wingdings" w:eastAsia="Wingdings" w:hAnsi="Wingdings" w:cs="Wingdings"/>
              </w:rPr>
              <w:t>óó</w:t>
            </w:r>
            <w:r w:rsidRPr="00350FE5">
              <w:rPr>
                <w:rFonts w:ascii="Wingdings" w:eastAsia="Wingdings" w:hAnsi="Wingdings" w:cs="Wingdings"/>
                <w:bCs/>
              </w:rPr>
              <w:t>ó</w:t>
            </w:r>
            <w:r w:rsidRPr="006776F7">
              <w:rPr>
                <w:rFonts w:ascii="Wingdings" w:eastAsia="Wingdings" w:hAnsi="Wingdings" w:cs="Wingdings"/>
              </w:rPr>
              <w:t>ñ</w:t>
            </w:r>
          </w:p>
        </w:tc>
      </w:tr>
      <w:tr w:rsidR="00291AAD" w:rsidRPr="006776F7" w14:paraId="248C58C4" w14:textId="77777777" w:rsidTr="00F2738E">
        <w:tc>
          <w:tcPr>
            <w:tcW w:w="2411" w:type="dxa"/>
            <w:shd w:val="clear" w:color="auto" w:fill="F2F2F2" w:themeFill="background1" w:themeFillShade="F2"/>
          </w:tcPr>
          <w:p w14:paraId="383524CF" w14:textId="77777777" w:rsidR="00291AAD" w:rsidRPr="006776F7" w:rsidRDefault="00291AAD" w:rsidP="00F2738E">
            <w:pPr>
              <w:spacing w:before="60" w:after="40"/>
              <w:ind w:left="113" w:right="113"/>
              <w:rPr>
                <w:rFonts w:eastAsia="Calibri"/>
              </w:rPr>
            </w:pPr>
            <w:r w:rsidRPr="70D648D5">
              <w:rPr>
                <w:rFonts w:eastAsia="Calibri"/>
              </w:rPr>
              <w:t xml:space="preserve">R6: </w:t>
            </w:r>
            <w:r>
              <w:t>Failure to take advantage of opportunities that allow the HTA to be an efficient regulator responsive to change and aware of the impact that it has on the sectors and activities that it regulates to ensure public trust and confidence is maintained</w:t>
            </w:r>
          </w:p>
        </w:tc>
        <w:tc>
          <w:tcPr>
            <w:tcW w:w="1701" w:type="dxa"/>
            <w:shd w:val="clear" w:color="auto" w:fill="F2F2F2" w:themeFill="background1" w:themeFillShade="F2"/>
          </w:tcPr>
          <w:p w14:paraId="69D1EE9E" w14:textId="77777777" w:rsidR="00291AAD" w:rsidRPr="006776F7" w:rsidRDefault="00291AAD" w:rsidP="00F2738E">
            <w:pPr>
              <w:spacing w:before="60" w:after="40"/>
              <w:ind w:left="113" w:right="113"/>
              <w:rPr>
                <w:rFonts w:eastAsia="Calibri"/>
              </w:rPr>
            </w:pPr>
            <w:r w:rsidRPr="006776F7">
              <w:rPr>
                <w:rFonts w:eastAsia="Calibri"/>
              </w:rPr>
              <w:t>Development (a-d) objectives</w:t>
            </w:r>
          </w:p>
        </w:tc>
        <w:tc>
          <w:tcPr>
            <w:tcW w:w="1275" w:type="dxa"/>
            <w:shd w:val="clear" w:color="auto" w:fill="FFFF00"/>
          </w:tcPr>
          <w:p w14:paraId="35BBFFF0" w14:textId="77777777" w:rsidR="00291AAD" w:rsidRPr="006776F7" w:rsidRDefault="00291AAD" w:rsidP="00F2738E">
            <w:pPr>
              <w:tabs>
                <w:tab w:val="left" w:pos="373"/>
                <w:tab w:val="left" w:pos="656"/>
              </w:tabs>
              <w:spacing w:before="60" w:after="40"/>
              <w:ind w:left="113" w:right="113"/>
              <w:rPr>
                <w:rFonts w:eastAsia="Calibri"/>
                <w:b/>
              </w:rPr>
            </w:pPr>
            <w:r>
              <w:rPr>
                <w:rFonts w:eastAsia="Calibri"/>
                <w:b/>
                <w:bCs/>
              </w:rPr>
              <w:t>9 - Medium</w:t>
            </w:r>
          </w:p>
        </w:tc>
        <w:tc>
          <w:tcPr>
            <w:tcW w:w="1560" w:type="dxa"/>
            <w:shd w:val="clear" w:color="auto" w:fill="F2F2F2" w:themeFill="background1" w:themeFillShade="F2"/>
          </w:tcPr>
          <w:p w14:paraId="08565A2E" w14:textId="77777777" w:rsidR="00291AAD" w:rsidRPr="00B361EB" w:rsidRDefault="00291AAD" w:rsidP="00F2738E">
            <w:pPr>
              <w:spacing w:before="60" w:after="40"/>
              <w:ind w:left="113" w:right="113"/>
              <w:rPr>
                <w:rFonts w:eastAsia="Calibri"/>
              </w:rPr>
            </w:pPr>
            <w:r w:rsidRPr="00B361EB">
              <w:rPr>
                <w:rFonts w:eastAsia="Calibri"/>
              </w:rPr>
              <w:t>Director of Data, Technology and Development</w:t>
            </w:r>
          </w:p>
        </w:tc>
        <w:tc>
          <w:tcPr>
            <w:tcW w:w="1275" w:type="dxa"/>
            <w:shd w:val="clear" w:color="auto" w:fill="F2F2F2" w:themeFill="background1" w:themeFillShade="F2"/>
          </w:tcPr>
          <w:p w14:paraId="73CE4ED4" w14:textId="77777777" w:rsidR="00291AAD" w:rsidRPr="006776F7" w:rsidRDefault="00291AAD" w:rsidP="00F2738E">
            <w:pPr>
              <w:spacing w:before="60" w:after="40"/>
              <w:ind w:left="113" w:right="113"/>
              <w:rPr>
                <w:rFonts w:eastAsia="Calibri"/>
              </w:rPr>
            </w:pPr>
            <w:r w:rsidRPr="76F99C24">
              <w:rPr>
                <w:rFonts w:eastAsia="Calibri"/>
              </w:rPr>
              <w:t>A</w:t>
            </w:r>
            <w:r>
              <w:rPr>
                <w:rFonts w:eastAsia="Calibri"/>
              </w:rPr>
              <w:t>t</w:t>
            </w:r>
            <w:r w:rsidRPr="76F99C24">
              <w:rPr>
                <w:rFonts w:eastAsia="Calibri"/>
              </w:rPr>
              <w:t xml:space="preserve"> </w:t>
            </w:r>
            <w:r w:rsidRPr="006776F7">
              <w:rPr>
                <w:rFonts w:eastAsia="Calibri"/>
              </w:rPr>
              <w:t>tolerance</w:t>
            </w:r>
          </w:p>
        </w:tc>
        <w:tc>
          <w:tcPr>
            <w:tcW w:w="1418" w:type="dxa"/>
            <w:shd w:val="clear" w:color="auto" w:fill="F2F2F2" w:themeFill="background1" w:themeFillShade="F2"/>
          </w:tcPr>
          <w:p w14:paraId="4CB31D17" w14:textId="77777777" w:rsidR="00291AAD" w:rsidRDefault="00291AAD" w:rsidP="00F2738E">
            <w:pPr>
              <w:spacing w:before="60" w:after="40"/>
              <w:ind w:left="113" w:right="113"/>
              <w:rPr>
                <w:rFonts w:eastAsia="Wingdings"/>
              </w:rPr>
            </w:pPr>
          </w:p>
          <w:p w14:paraId="0E6FE1C9" w14:textId="77777777" w:rsidR="00291AAD" w:rsidRDefault="00291AAD" w:rsidP="00F2738E">
            <w:pPr>
              <w:spacing w:before="60" w:after="40"/>
              <w:ind w:left="113" w:right="113"/>
              <w:rPr>
                <w:rFonts w:eastAsia="Wingdings"/>
              </w:rPr>
            </w:pPr>
            <w:r>
              <w:rPr>
                <w:rFonts w:eastAsia="Wingdings"/>
                <w:b/>
                <w:bCs/>
              </w:rPr>
              <w:t>9</w:t>
            </w:r>
          </w:p>
        </w:tc>
        <w:tc>
          <w:tcPr>
            <w:tcW w:w="1276" w:type="dxa"/>
            <w:shd w:val="clear" w:color="auto" w:fill="F2F2F2" w:themeFill="background1" w:themeFillShade="F2"/>
          </w:tcPr>
          <w:p w14:paraId="75359B1B" w14:textId="77777777" w:rsidR="00291AAD" w:rsidRPr="006776F7" w:rsidRDefault="00291AAD" w:rsidP="00F2738E">
            <w:pPr>
              <w:spacing w:before="60" w:after="40"/>
              <w:ind w:left="113" w:right="113"/>
              <w:rPr>
                <w:rFonts w:eastAsia="Calibri"/>
                <w:bCs/>
              </w:rPr>
            </w:pPr>
            <w:r w:rsidRPr="006776F7">
              <w:rPr>
                <w:rFonts w:ascii="Wingdings" w:eastAsia="Wingdings" w:hAnsi="Wingdings" w:cs="Wingdings"/>
              </w:rPr>
              <w:t>ó</w:t>
            </w:r>
            <w:r w:rsidRPr="0031320E">
              <w:rPr>
                <w:rFonts w:ascii="Wingdings" w:eastAsia="Wingdings" w:hAnsi="Wingdings" w:cs="Wingdings"/>
              </w:rPr>
              <w:t>óó</w:t>
            </w:r>
            <w:r w:rsidRPr="006776F7">
              <w:rPr>
                <w:rFonts w:ascii="Wingdings" w:eastAsia="Wingdings" w:hAnsi="Wingdings" w:cs="Wingdings"/>
              </w:rPr>
              <w:t>ò</w:t>
            </w:r>
          </w:p>
        </w:tc>
      </w:tr>
      <w:tr w:rsidR="00291AAD" w:rsidRPr="006776F7" w14:paraId="4F37D65C" w14:textId="77777777" w:rsidTr="00F2738E">
        <w:tc>
          <w:tcPr>
            <w:tcW w:w="2411" w:type="dxa"/>
            <w:shd w:val="clear" w:color="auto" w:fill="F2F2F2" w:themeFill="background1" w:themeFillShade="F2"/>
          </w:tcPr>
          <w:p w14:paraId="373617B8" w14:textId="77777777" w:rsidR="00291AAD" w:rsidRPr="00061A30" w:rsidRDefault="00291AAD" w:rsidP="00F2738E">
            <w:pPr>
              <w:spacing w:before="60" w:after="40"/>
              <w:ind w:left="113" w:right="113"/>
              <w:rPr>
                <w:rFonts w:eastAsia="Calibri"/>
                <w:strike/>
              </w:rPr>
            </w:pPr>
            <w:r w:rsidRPr="002D5FDB">
              <w:rPr>
                <w:rFonts w:eastAsia="Calibri"/>
              </w:rPr>
              <w:t>R7</w:t>
            </w:r>
            <w:r>
              <w:rPr>
                <w:rFonts w:eastAsia="Calibri"/>
              </w:rPr>
              <w:t xml:space="preserve"> Failure to optimise the safe use of existing and </w:t>
            </w:r>
            <w:r>
              <w:t>emerging</w:t>
            </w:r>
            <w:r>
              <w:rPr>
                <w:rFonts w:eastAsia="Calibri"/>
              </w:rPr>
              <w:t xml:space="preserve"> digital data and technology</w:t>
            </w:r>
          </w:p>
        </w:tc>
        <w:tc>
          <w:tcPr>
            <w:tcW w:w="1701" w:type="dxa"/>
            <w:shd w:val="clear" w:color="auto" w:fill="F2F2F2" w:themeFill="background1" w:themeFillShade="F2"/>
          </w:tcPr>
          <w:p w14:paraId="3138B062" w14:textId="77777777" w:rsidR="00291AAD" w:rsidRPr="002D5FDB" w:rsidRDefault="00291AAD" w:rsidP="00F2738E">
            <w:pPr>
              <w:spacing w:before="60" w:after="40"/>
              <w:ind w:left="113" w:right="113"/>
              <w:rPr>
                <w:rFonts w:eastAsia="Calibri"/>
              </w:rPr>
            </w:pPr>
            <w:r w:rsidRPr="002D5FDB">
              <w:rPr>
                <w:rFonts w:eastAsia="Calibri"/>
              </w:rPr>
              <w:t>Delivery (a-e), Development (a-d)</w:t>
            </w:r>
          </w:p>
          <w:p w14:paraId="66D35E77" w14:textId="77777777" w:rsidR="00291AAD" w:rsidRPr="00061A30" w:rsidRDefault="00291AAD" w:rsidP="00F2738E">
            <w:pPr>
              <w:spacing w:before="60" w:after="40"/>
              <w:ind w:left="113" w:right="113"/>
              <w:rPr>
                <w:rFonts w:eastAsia="Calibri"/>
                <w:strike/>
              </w:rPr>
            </w:pPr>
            <w:r w:rsidRPr="002D5FDB">
              <w:rPr>
                <w:rFonts w:eastAsia="Calibri"/>
              </w:rPr>
              <w:t>Deployment (a, c and d)</w:t>
            </w:r>
          </w:p>
        </w:tc>
        <w:tc>
          <w:tcPr>
            <w:tcW w:w="1275" w:type="dxa"/>
            <w:shd w:val="clear" w:color="auto" w:fill="FFC000"/>
          </w:tcPr>
          <w:p w14:paraId="55DBE447" w14:textId="77777777" w:rsidR="00291AAD" w:rsidRPr="002D5FDB" w:rsidRDefault="00291AAD" w:rsidP="00F2738E">
            <w:pPr>
              <w:tabs>
                <w:tab w:val="left" w:pos="373"/>
                <w:tab w:val="left" w:pos="656"/>
              </w:tabs>
              <w:spacing w:before="60" w:after="40"/>
              <w:ind w:left="113" w:right="113"/>
              <w:rPr>
                <w:rFonts w:eastAsia="Calibri"/>
                <w:b/>
              </w:rPr>
            </w:pPr>
            <w:r w:rsidRPr="002D5FDB">
              <w:rPr>
                <w:rFonts w:eastAsia="Calibri"/>
                <w:b/>
              </w:rPr>
              <w:t>12 - High</w:t>
            </w:r>
          </w:p>
        </w:tc>
        <w:tc>
          <w:tcPr>
            <w:tcW w:w="1560" w:type="dxa"/>
            <w:shd w:val="clear" w:color="auto" w:fill="F2F2F2" w:themeFill="background1" w:themeFillShade="F2"/>
          </w:tcPr>
          <w:p w14:paraId="6FD16AF5" w14:textId="77777777" w:rsidR="00291AAD" w:rsidRPr="002D5FDB" w:rsidRDefault="00291AAD" w:rsidP="00F2738E">
            <w:pPr>
              <w:spacing w:before="60" w:after="40"/>
              <w:ind w:left="113" w:right="113"/>
              <w:rPr>
                <w:rFonts w:eastAsia="Calibri"/>
              </w:rPr>
            </w:pPr>
            <w:r w:rsidRPr="002D5FDB">
              <w:rPr>
                <w:rFonts w:eastAsia="Calibri"/>
              </w:rPr>
              <w:t>Director of Data, Technology and Development</w:t>
            </w:r>
          </w:p>
        </w:tc>
        <w:tc>
          <w:tcPr>
            <w:tcW w:w="1275" w:type="dxa"/>
            <w:shd w:val="clear" w:color="auto" w:fill="F2F2F2" w:themeFill="background1" w:themeFillShade="F2"/>
          </w:tcPr>
          <w:p w14:paraId="500119D0" w14:textId="77777777" w:rsidR="00291AAD" w:rsidRPr="002D5FDB" w:rsidRDefault="00291AAD" w:rsidP="00F2738E">
            <w:pPr>
              <w:spacing w:before="60" w:after="40"/>
              <w:ind w:left="113" w:right="113"/>
              <w:rPr>
                <w:rFonts w:eastAsia="Calibri"/>
              </w:rPr>
            </w:pPr>
            <w:r w:rsidRPr="002D5FDB">
              <w:rPr>
                <w:rFonts w:eastAsia="Calibri"/>
              </w:rPr>
              <w:t>Above tolerance</w:t>
            </w:r>
          </w:p>
        </w:tc>
        <w:tc>
          <w:tcPr>
            <w:tcW w:w="1418" w:type="dxa"/>
            <w:shd w:val="clear" w:color="auto" w:fill="F2F2F2" w:themeFill="background1" w:themeFillShade="F2"/>
          </w:tcPr>
          <w:p w14:paraId="55480E1D" w14:textId="77777777" w:rsidR="00291AAD" w:rsidRPr="00061A30" w:rsidRDefault="00291AAD" w:rsidP="00F2738E">
            <w:pPr>
              <w:spacing w:before="60" w:after="40"/>
              <w:ind w:left="113" w:right="113"/>
              <w:rPr>
                <w:rFonts w:eastAsia="Wingdings"/>
                <w:strike/>
              </w:rPr>
            </w:pPr>
          </w:p>
          <w:p w14:paraId="4852484D" w14:textId="77777777" w:rsidR="00291AAD" w:rsidRPr="00E50A67" w:rsidRDefault="00291AAD" w:rsidP="00F2738E">
            <w:pPr>
              <w:spacing w:before="60" w:after="40"/>
              <w:ind w:left="113" w:right="113"/>
              <w:rPr>
                <w:rFonts w:eastAsia="Wingdings"/>
              </w:rPr>
            </w:pPr>
            <w:r w:rsidRPr="00E50A67">
              <w:rPr>
                <w:rFonts w:eastAsia="Wingdings"/>
                <w:b/>
              </w:rPr>
              <w:t>9</w:t>
            </w:r>
          </w:p>
        </w:tc>
        <w:tc>
          <w:tcPr>
            <w:tcW w:w="1276" w:type="dxa"/>
            <w:shd w:val="clear" w:color="auto" w:fill="F2F2F2" w:themeFill="background1" w:themeFillShade="F2"/>
          </w:tcPr>
          <w:p w14:paraId="17AC7CAE" w14:textId="77777777" w:rsidR="00291AAD" w:rsidRPr="002D5FDB" w:rsidRDefault="00291AAD" w:rsidP="00F2738E">
            <w:pPr>
              <w:spacing w:before="60" w:after="40"/>
              <w:ind w:left="113" w:right="113"/>
              <w:rPr>
                <w:rFonts w:ascii="Wingdings" w:eastAsia="Wingdings" w:hAnsi="Wingdings" w:cs="Wingdings"/>
              </w:rPr>
            </w:pPr>
            <w:r w:rsidRPr="002D5FDB">
              <w:rPr>
                <w:rFonts w:ascii="Wingdings" w:eastAsia="Wingdings" w:hAnsi="Wingdings" w:cs="Wingdings"/>
              </w:rPr>
              <w:t>óñóó</w:t>
            </w:r>
          </w:p>
        </w:tc>
      </w:tr>
      <w:tr w:rsidR="00291AAD" w:rsidRPr="006776F7" w14:paraId="2D842872" w14:textId="77777777" w:rsidTr="00F2738E">
        <w:tc>
          <w:tcPr>
            <w:tcW w:w="2411" w:type="dxa"/>
            <w:shd w:val="clear" w:color="auto" w:fill="F2F2F2" w:themeFill="background1" w:themeFillShade="F2"/>
          </w:tcPr>
          <w:p w14:paraId="2C275546" w14:textId="77777777" w:rsidR="00291AAD" w:rsidRPr="00C553AF" w:rsidRDefault="00291AAD" w:rsidP="00F2738E">
            <w:pPr>
              <w:spacing w:before="60" w:after="40"/>
              <w:ind w:left="113" w:right="113"/>
              <w:rPr>
                <w:rFonts w:eastAsia="Calibri"/>
                <w:strike/>
              </w:rPr>
            </w:pPr>
            <w:r w:rsidRPr="006776F7">
              <w:rPr>
                <w:rFonts w:eastAsia="Calibri"/>
              </w:rPr>
              <w:t>R</w:t>
            </w:r>
            <w:r>
              <w:rPr>
                <w:rFonts w:eastAsia="Calibri"/>
              </w:rPr>
              <w:t>8</w:t>
            </w:r>
            <w:r w:rsidRPr="006776F7">
              <w:rPr>
                <w:rFonts w:eastAsia="Calibri"/>
              </w:rPr>
              <w:t xml:space="preserve">: Failure to </w:t>
            </w:r>
            <w:r>
              <w:rPr>
                <w:rFonts w:eastAsia="Calibri"/>
              </w:rPr>
              <w:t>deliver the agreed Business Plan</w:t>
            </w:r>
          </w:p>
        </w:tc>
        <w:tc>
          <w:tcPr>
            <w:tcW w:w="1701" w:type="dxa"/>
            <w:shd w:val="clear" w:color="auto" w:fill="F2F2F2" w:themeFill="background1" w:themeFillShade="F2"/>
          </w:tcPr>
          <w:p w14:paraId="7BFF2DB3" w14:textId="77777777" w:rsidR="00291AAD" w:rsidRPr="00C553AF" w:rsidRDefault="00291AAD" w:rsidP="00F2738E">
            <w:pPr>
              <w:spacing w:before="60" w:after="40"/>
              <w:ind w:left="113" w:right="113"/>
              <w:rPr>
                <w:rFonts w:eastAsia="Calibri"/>
                <w:strike/>
              </w:rPr>
            </w:pPr>
            <w:r w:rsidRPr="006776F7">
              <w:rPr>
                <w:rFonts w:eastAsia="Calibri"/>
              </w:rPr>
              <w:t>Delivery, Development and Deployment objectives</w:t>
            </w:r>
          </w:p>
        </w:tc>
        <w:tc>
          <w:tcPr>
            <w:tcW w:w="1275" w:type="dxa"/>
            <w:shd w:val="clear" w:color="auto" w:fill="FFC000"/>
          </w:tcPr>
          <w:p w14:paraId="078932FA" w14:textId="77777777" w:rsidR="00291AAD" w:rsidRPr="00C553AF" w:rsidRDefault="00291AAD" w:rsidP="00F2738E">
            <w:pPr>
              <w:tabs>
                <w:tab w:val="left" w:pos="373"/>
                <w:tab w:val="left" w:pos="656"/>
              </w:tabs>
              <w:spacing w:before="60" w:after="40"/>
              <w:ind w:left="113" w:right="113"/>
              <w:rPr>
                <w:rFonts w:eastAsia="Calibri"/>
                <w:b/>
                <w:bCs/>
                <w:strike/>
              </w:rPr>
            </w:pPr>
            <w:r w:rsidRPr="7441792C">
              <w:rPr>
                <w:rFonts w:eastAsia="Calibri"/>
                <w:b/>
                <w:bCs/>
              </w:rPr>
              <w:t>12 - High</w:t>
            </w:r>
          </w:p>
        </w:tc>
        <w:tc>
          <w:tcPr>
            <w:tcW w:w="1560" w:type="dxa"/>
            <w:shd w:val="clear" w:color="auto" w:fill="F2F2F2" w:themeFill="background1" w:themeFillShade="F2"/>
          </w:tcPr>
          <w:p w14:paraId="3575598B" w14:textId="77777777" w:rsidR="00291AAD" w:rsidRPr="00C553AF" w:rsidRDefault="00291AAD" w:rsidP="00F2738E">
            <w:pPr>
              <w:spacing w:before="60" w:after="40"/>
              <w:ind w:left="113" w:right="113"/>
              <w:rPr>
                <w:rFonts w:eastAsia="Calibri"/>
                <w:strike/>
              </w:rPr>
            </w:pPr>
            <w:r>
              <w:rPr>
                <w:rFonts w:eastAsia="Calibri"/>
              </w:rPr>
              <w:t>Deputy Director of Performance and Corporate Governance</w:t>
            </w:r>
          </w:p>
        </w:tc>
        <w:tc>
          <w:tcPr>
            <w:tcW w:w="1275" w:type="dxa"/>
            <w:shd w:val="clear" w:color="auto" w:fill="F2F2F2" w:themeFill="background1" w:themeFillShade="F2"/>
          </w:tcPr>
          <w:p w14:paraId="71F8F03A" w14:textId="77777777" w:rsidR="00291AAD" w:rsidRPr="006776F7" w:rsidRDefault="00291AAD" w:rsidP="00F2738E">
            <w:pPr>
              <w:spacing w:before="60" w:after="40"/>
              <w:ind w:left="113" w:right="113"/>
              <w:rPr>
                <w:rFonts w:eastAsia="Calibri"/>
              </w:rPr>
            </w:pPr>
            <w:r>
              <w:rPr>
                <w:rFonts w:eastAsia="Calibri"/>
              </w:rPr>
              <w:t>Above tolerance</w:t>
            </w:r>
          </w:p>
          <w:p w14:paraId="7624CCE4" w14:textId="77777777" w:rsidR="00291AAD" w:rsidRPr="00C553AF" w:rsidRDefault="00291AAD" w:rsidP="00F2738E">
            <w:pPr>
              <w:spacing w:before="60" w:after="40"/>
              <w:ind w:left="113" w:right="113"/>
              <w:rPr>
                <w:rFonts w:eastAsia="Calibri"/>
                <w:strike/>
              </w:rPr>
            </w:pPr>
          </w:p>
        </w:tc>
        <w:tc>
          <w:tcPr>
            <w:tcW w:w="1418" w:type="dxa"/>
            <w:shd w:val="clear" w:color="auto" w:fill="F2F2F2" w:themeFill="background1" w:themeFillShade="F2"/>
          </w:tcPr>
          <w:p w14:paraId="7CD52F5A" w14:textId="77777777" w:rsidR="00291AAD" w:rsidRDefault="00291AAD" w:rsidP="00F2738E">
            <w:pPr>
              <w:spacing w:before="60" w:after="40"/>
              <w:ind w:left="113" w:right="113"/>
              <w:rPr>
                <w:rFonts w:eastAsia="Wingdings"/>
                <w:b/>
                <w:bCs/>
              </w:rPr>
            </w:pPr>
          </w:p>
          <w:p w14:paraId="19867886" w14:textId="77777777" w:rsidR="00291AAD" w:rsidRPr="00C553AF" w:rsidRDefault="00291AAD" w:rsidP="00F2738E">
            <w:pPr>
              <w:spacing w:before="60" w:after="40"/>
              <w:ind w:left="113" w:right="113"/>
              <w:rPr>
                <w:rFonts w:eastAsia="Wingdings"/>
                <w:strike/>
              </w:rPr>
            </w:pPr>
            <w:r>
              <w:rPr>
                <w:rFonts w:eastAsia="Wingdings"/>
                <w:b/>
                <w:bCs/>
              </w:rPr>
              <w:t>6</w:t>
            </w:r>
          </w:p>
        </w:tc>
        <w:tc>
          <w:tcPr>
            <w:tcW w:w="1276" w:type="dxa"/>
            <w:shd w:val="clear" w:color="auto" w:fill="F2F2F2" w:themeFill="background1" w:themeFillShade="F2"/>
          </w:tcPr>
          <w:p w14:paraId="56CA64A6" w14:textId="77777777" w:rsidR="00291AAD" w:rsidRPr="00C553AF" w:rsidRDefault="00291AAD" w:rsidP="00F2738E">
            <w:pPr>
              <w:spacing w:before="60" w:after="40"/>
              <w:ind w:left="113" w:right="113"/>
              <w:rPr>
                <w:rFonts w:ascii="Wingdings" w:eastAsia="Wingdings" w:hAnsi="Wingdings" w:cs="Wingdings"/>
                <w:strike/>
              </w:rPr>
            </w:pPr>
            <w:r w:rsidRPr="006776F7">
              <w:rPr>
                <w:rFonts w:ascii="Wingdings" w:eastAsia="Wingdings" w:hAnsi="Wingdings" w:cs="Wingdings"/>
              </w:rPr>
              <w:t>ó</w:t>
            </w:r>
            <w:r w:rsidRPr="002D5FDB">
              <w:rPr>
                <w:rFonts w:ascii="Wingdings" w:eastAsia="Wingdings" w:hAnsi="Wingdings" w:cs="Wingdings"/>
              </w:rPr>
              <w:t>ñ</w:t>
            </w:r>
          </w:p>
        </w:tc>
      </w:tr>
    </w:tbl>
    <w:p w14:paraId="421065B8" w14:textId="77777777" w:rsidR="00291AAD" w:rsidRDefault="00291AAD" w:rsidP="00291AAD">
      <w:pPr>
        <w:rPr>
          <w:rFonts w:eastAsia="Calibri"/>
          <w:sz w:val="20"/>
          <w:szCs w:val="20"/>
        </w:rPr>
      </w:pPr>
    </w:p>
    <w:p w14:paraId="0A1B288D" w14:textId="77777777" w:rsidR="00291AAD" w:rsidRPr="000777BB" w:rsidRDefault="00291AAD" w:rsidP="00291AAD">
      <w:pPr>
        <w:rPr>
          <w:sz w:val="20"/>
          <w:szCs w:val="20"/>
        </w:rPr>
      </w:pPr>
      <w:r w:rsidRPr="000777BB">
        <w:rPr>
          <w:rFonts w:eastAsia="Calibri"/>
          <w:sz w:val="20"/>
          <w:szCs w:val="20"/>
        </w:rPr>
        <w:t xml:space="preserve">* </w:t>
      </w:r>
      <w:r w:rsidRPr="000777BB">
        <w:rPr>
          <w:sz w:val="20"/>
          <w:szCs w:val="20"/>
        </w:rPr>
        <w:t xml:space="preserve">Strategic objectives 2021-2024: </w:t>
      </w:r>
    </w:p>
    <w:p w14:paraId="4EEF617E" w14:textId="77777777" w:rsidR="00291AAD" w:rsidRPr="000777BB" w:rsidRDefault="00291AAD" w:rsidP="00291AAD">
      <w:pPr>
        <w:rPr>
          <w:rFonts w:eastAsia="Calibri"/>
          <w:sz w:val="20"/>
          <w:szCs w:val="20"/>
        </w:rPr>
      </w:pPr>
      <w:r w:rsidRPr="000777BB">
        <w:rPr>
          <w:rFonts w:eastAsia="Calibri"/>
          <w:sz w:val="20"/>
          <w:szCs w:val="20"/>
        </w:rPr>
        <w:t>** This column tracks the four most recent reviews by SMT (Senior Management Team) (e.g.,</w:t>
      </w:r>
      <w:r w:rsidRPr="000777BB">
        <w:rPr>
          <w:rFonts w:ascii="Wingdings" w:eastAsia="Wingdings" w:hAnsi="Wingdings" w:cs="Wingdings"/>
          <w:sz w:val="20"/>
          <w:szCs w:val="20"/>
        </w:rPr>
        <w:t>ñ</w:t>
      </w:r>
      <w:r w:rsidRPr="000777BB">
        <w:rPr>
          <w:rFonts w:ascii="Symbol" w:eastAsia="Symbol" w:hAnsi="Symbol" w:cs="Symbol"/>
          <w:sz w:val="20"/>
          <w:szCs w:val="20"/>
        </w:rPr>
        <w:t>Û</w:t>
      </w:r>
      <w:r w:rsidRPr="000777BB">
        <w:rPr>
          <w:rFonts w:ascii="Wingdings" w:eastAsia="Wingdings" w:hAnsi="Wingdings" w:cs="Wingdings"/>
          <w:sz w:val="20"/>
          <w:szCs w:val="20"/>
        </w:rPr>
        <w:t>ò</w:t>
      </w:r>
      <w:r w:rsidRPr="000777BB">
        <w:rPr>
          <w:rFonts w:ascii="Symbol" w:eastAsia="Symbol" w:hAnsi="Symbol" w:cs="Symbol"/>
          <w:sz w:val="20"/>
          <w:szCs w:val="20"/>
        </w:rPr>
        <w:t>Û</w:t>
      </w:r>
      <w:r w:rsidRPr="000777BB">
        <w:rPr>
          <w:rFonts w:eastAsia="Calibri"/>
          <w:sz w:val="20"/>
          <w:szCs w:val="20"/>
        </w:rPr>
        <w:t xml:space="preserve">). </w:t>
      </w:r>
    </w:p>
    <w:p w14:paraId="507C086C" w14:textId="77777777" w:rsidR="00291AAD" w:rsidRDefault="00291AAD" w:rsidP="00291AAD">
      <w:pPr>
        <w:rPr>
          <w:rFonts w:eastAsia="Calibri"/>
        </w:rPr>
      </w:pPr>
      <w:r>
        <w:rPr>
          <w:rFonts w:eastAsia="Calibri"/>
        </w:rPr>
        <w:br w:type="page"/>
      </w:r>
    </w:p>
    <w:p w14:paraId="415BF56B" w14:textId="77777777" w:rsidR="00291AAD" w:rsidRDefault="00291AAD" w:rsidP="00291AAD">
      <w:pPr>
        <w:pStyle w:val="Heading2"/>
        <w:rPr>
          <w:szCs w:val="24"/>
        </w:rPr>
      </w:pPr>
    </w:p>
    <w:p w14:paraId="7FE2F012" w14:textId="77777777" w:rsidR="00291AAD" w:rsidRPr="005241B8" w:rsidRDefault="00291AAD" w:rsidP="00291AAD">
      <w:pPr>
        <w:pStyle w:val="Heading2"/>
        <w:rPr>
          <w:rFonts w:eastAsia="Times New Roman" w:cs="Times New Roman"/>
          <w:b w:val="0"/>
          <w:szCs w:val="24"/>
        </w:rPr>
      </w:pPr>
      <w:r w:rsidRPr="005241B8">
        <w:rPr>
          <w:szCs w:val="24"/>
        </w:rPr>
        <w:t>R1: There is a risk that we fail to regulate in a manner that maintains public safety and confidence and is appropriate.</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291AAD" w:rsidRPr="005241B8" w14:paraId="6EB66F7B" w14:textId="77777777" w:rsidTr="00F2738E">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4020D973" w14:textId="77777777" w:rsidR="00291AAD" w:rsidRPr="005241B8" w:rsidRDefault="00291AAD" w:rsidP="00F2738E">
            <w:pPr>
              <w:spacing w:before="120" w:after="120"/>
              <w:ind w:left="41"/>
              <w:rPr>
                <w:rFonts w:eastAsia="Calibri"/>
                <w:b/>
              </w:rPr>
            </w:pPr>
            <w:r w:rsidRPr="005241B8">
              <w:rPr>
                <w:rFonts w:eastAsia="Calibri"/>
                <w:b/>
              </w:rPr>
              <w:t>Inherent risk level:</w:t>
            </w:r>
          </w:p>
        </w:tc>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42F4CE" w14:textId="77777777" w:rsidR="00291AAD" w:rsidRPr="005241B8" w:rsidRDefault="00291AAD" w:rsidP="00F2738E">
            <w:pPr>
              <w:spacing w:before="120" w:after="120"/>
              <w:ind w:left="41"/>
              <w:rPr>
                <w:rFonts w:eastAsia="Calibri"/>
                <w:b/>
              </w:rPr>
            </w:pPr>
            <w:r w:rsidRPr="005241B8">
              <w:rPr>
                <w:rFonts w:eastAsia="Calibri"/>
                <w:b/>
              </w:rPr>
              <w:t>Residual risk level:</w:t>
            </w:r>
          </w:p>
        </w:tc>
      </w:tr>
      <w:tr w:rsidR="00291AAD" w:rsidRPr="005241B8" w14:paraId="21C9B8F2" w14:textId="77777777" w:rsidTr="00F2738E">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67DFAA0E" w14:textId="77777777" w:rsidR="00291AAD" w:rsidRPr="005241B8" w:rsidRDefault="00291AAD" w:rsidP="00F2738E">
            <w:pPr>
              <w:spacing w:before="120" w:after="120"/>
              <w:ind w:left="40"/>
              <w:rPr>
                <w:rFonts w:eastAsia="Calibri"/>
              </w:rPr>
            </w:pPr>
            <w:r w:rsidRPr="005241B8">
              <w:rPr>
                <w:rFonts w:eastAsia="Calibri"/>
              </w:rPr>
              <w:t xml:space="preserve">Likelihood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0A8BDC57" w14:textId="77777777" w:rsidR="00291AAD" w:rsidRPr="005241B8" w:rsidRDefault="00291AAD" w:rsidP="00F2738E">
            <w:pPr>
              <w:spacing w:before="120" w:after="120"/>
              <w:ind w:left="40"/>
              <w:rPr>
                <w:rFonts w:eastAsia="Calibri"/>
              </w:rPr>
            </w:pPr>
            <w:r w:rsidRPr="005241B8">
              <w:rPr>
                <w:rFonts w:eastAsia="Calibri"/>
              </w:rPr>
              <w:t xml:space="preserve">Impact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3290B5BF" w14:textId="77777777" w:rsidR="00291AAD" w:rsidRPr="005241B8" w:rsidRDefault="00291AAD" w:rsidP="00F2738E">
            <w:pPr>
              <w:spacing w:before="120" w:after="120"/>
              <w:ind w:left="40"/>
              <w:rPr>
                <w:rFonts w:eastAsia="Calibri"/>
              </w:rPr>
            </w:pPr>
            <w:r w:rsidRPr="005241B8">
              <w:rPr>
                <w:rFonts w:eastAsia="Calibri"/>
              </w:rPr>
              <w:t>Inherent risk</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74992671" w14:textId="77777777" w:rsidR="00291AAD" w:rsidRPr="005241B8" w:rsidRDefault="00291AAD" w:rsidP="00F2738E">
            <w:pPr>
              <w:spacing w:before="120" w:after="120"/>
              <w:ind w:left="40"/>
              <w:rPr>
                <w:rFonts w:eastAsia="Calibri"/>
              </w:rPr>
            </w:pPr>
            <w:r w:rsidRPr="005241B8">
              <w:rPr>
                <w:rFonts w:eastAsia="Calibri"/>
                <w:b/>
              </w:rPr>
              <w:t>Likelihood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3264B6E3" w14:textId="77777777" w:rsidR="00291AAD" w:rsidRPr="005241B8" w:rsidRDefault="00291AAD" w:rsidP="00F2738E">
            <w:pPr>
              <w:spacing w:before="120" w:after="120"/>
              <w:ind w:left="40"/>
              <w:rPr>
                <w:rFonts w:eastAsia="Calibri"/>
                <w:b/>
              </w:rPr>
            </w:pPr>
            <w:r w:rsidRPr="005241B8">
              <w:rPr>
                <w:rFonts w:eastAsia="Calibri"/>
                <w:b/>
              </w:rPr>
              <w:t>Impact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5CC8E36D" w14:textId="77777777" w:rsidR="00291AAD" w:rsidRPr="005241B8" w:rsidRDefault="00291AAD" w:rsidP="00F2738E">
            <w:pPr>
              <w:spacing w:before="120" w:after="120"/>
              <w:ind w:left="40"/>
              <w:rPr>
                <w:rFonts w:eastAsia="Calibri"/>
                <w:b/>
              </w:rPr>
            </w:pPr>
            <w:r w:rsidRPr="005241B8">
              <w:rPr>
                <w:rFonts w:eastAsia="Calibri"/>
                <w:b/>
              </w:rPr>
              <w:t>Residual risk</w:t>
            </w:r>
          </w:p>
        </w:tc>
      </w:tr>
      <w:tr w:rsidR="00291AAD" w:rsidRPr="005241B8" w14:paraId="0D312AC1" w14:textId="77777777" w:rsidTr="00F2738E">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C8E86A" w14:textId="77777777" w:rsidR="00291AAD" w:rsidRPr="005241B8" w:rsidRDefault="00291AAD" w:rsidP="00F2738E">
            <w:pPr>
              <w:spacing w:before="120" w:after="120"/>
              <w:ind w:left="40"/>
              <w:rPr>
                <w:rFonts w:eastAsia="Calibri"/>
              </w:rPr>
            </w:pPr>
            <w:r w:rsidRPr="005241B8">
              <w:rPr>
                <w:rFonts w:eastAsia="Calibri"/>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915CF" w14:textId="77777777" w:rsidR="00291AAD" w:rsidRPr="005241B8" w:rsidRDefault="00291AAD" w:rsidP="00F2738E">
            <w:pPr>
              <w:spacing w:before="120" w:after="120"/>
              <w:ind w:left="40"/>
              <w:rPr>
                <w:rFonts w:eastAsia="Calibri"/>
              </w:rPr>
            </w:pPr>
            <w:r w:rsidRPr="005241B8">
              <w:rPr>
                <w:rFonts w:eastAsia="Calibri"/>
              </w:rPr>
              <w:t>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26165DDF" w14:textId="4CF9B475" w:rsidR="00291AAD" w:rsidRPr="005241B8" w:rsidRDefault="00291AAD" w:rsidP="00F2738E">
            <w:pPr>
              <w:spacing w:before="120" w:after="120"/>
              <w:ind w:left="40"/>
              <w:rPr>
                <w:rFonts w:eastAsia="Calibri"/>
              </w:rPr>
            </w:pPr>
            <w:r w:rsidRPr="005241B8">
              <w:rPr>
                <w:rFonts w:eastAsia="Calibri"/>
              </w:rPr>
              <w:t xml:space="preserve">15 </w:t>
            </w:r>
            <w:r w:rsidR="00D624F4">
              <w:rPr>
                <w:rFonts w:eastAsia="Calibri"/>
              </w:rPr>
              <w:t>–</w:t>
            </w:r>
            <w:r w:rsidRPr="005241B8">
              <w:rPr>
                <w:rFonts w:eastAsia="Calibri"/>
              </w:rPr>
              <w:t xml:space="preserve"> High</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31C0C47" w14:textId="77777777" w:rsidR="00291AAD" w:rsidRPr="005241B8" w:rsidRDefault="00291AAD" w:rsidP="00F2738E">
            <w:pPr>
              <w:spacing w:before="120" w:after="120"/>
              <w:ind w:left="40"/>
              <w:rPr>
                <w:rFonts w:eastAsia="Calibri"/>
                <w:b/>
              </w:rPr>
            </w:pPr>
            <w:r w:rsidRPr="1C9275E6">
              <w:rPr>
                <w:rFonts w:eastAsia="Calibri"/>
                <w:b/>
                <w:bCs/>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60FE416" w14:textId="77777777" w:rsidR="00291AAD" w:rsidRPr="005241B8" w:rsidRDefault="00291AAD" w:rsidP="00F2738E">
            <w:pPr>
              <w:spacing w:before="120" w:after="120"/>
              <w:ind w:left="40"/>
              <w:rPr>
                <w:rFonts w:eastAsia="Calibri"/>
                <w:b/>
              </w:rPr>
            </w:pPr>
            <w:r>
              <w:rPr>
                <w:rFonts w:eastAsia="Calibri"/>
                <w:b/>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4AADEB85" w14:textId="77777777" w:rsidR="00291AAD" w:rsidRPr="005241B8" w:rsidRDefault="00291AAD" w:rsidP="00F2738E">
            <w:pPr>
              <w:spacing w:before="120" w:after="120"/>
              <w:ind w:left="40"/>
              <w:rPr>
                <w:rFonts w:eastAsia="Calibri"/>
                <w:b/>
              </w:rPr>
            </w:pPr>
            <w:r>
              <w:rPr>
                <w:rFonts w:eastAsia="Calibri"/>
                <w:b/>
              </w:rPr>
              <w:t>9 - Medium</w:t>
            </w:r>
          </w:p>
        </w:tc>
      </w:tr>
      <w:tr w:rsidR="00291AAD" w:rsidRPr="005241B8" w14:paraId="4301491D" w14:textId="77777777" w:rsidTr="00F2738E">
        <w:tc>
          <w:tcPr>
            <w:tcW w:w="86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241F4FF" w14:textId="77777777" w:rsidR="00291AAD" w:rsidRPr="005241B8" w:rsidRDefault="00291AAD" w:rsidP="00F2738E">
            <w:pPr>
              <w:spacing w:before="120" w:after="120"/>
              <w:ind w:left="40"/>
              <w:rPr>
                <w:rFonts w:eastAsia="Calibri"/>
                <w:b/>
              </w:rPr>
            </w:pPr>
            <w:r w:rsidRPr="005241B8">
              <w:rPr>
                <w:rFonts w:eastAsia="Calibri"/>
                <w:b/>
              </w:rPr>
              <w:t xml:space="preserve">Tolerance threshold: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760AE09" w14:textId="77777777" w:rsidR="00291AAD" w:rsidRPr="005241B8" w:rsidRDefault="00291AAD" w:rsidP="00F2738E">
            <w:pPr>
              <w:spacing w:before="120" w:after="120"/>
              <w:ind w:left="40"/>
              <w:rPr>
                <w:rFonts w:eastAsia="Calibri"/>
                <w:b/>
              </w:rPr>
            </w:pPr>
            <w:r w:rsidRPr="005241B8">
              <w:rPr>
                <w:rFonts w:eastAsia="Calibri"/>
                <w:b/>
              </w:rPr>
              <w:t>10 - Medium</w:t>
            </w:r>
          </w:p>
        </w:tc>
      </w:tr>
    </w:tbl>
    <w:p w14:paraId="235EC011" w14:textId="77777777" w:rsidR="00291AAD" w:rsidRPr="005241B8" w:rsidRDefault="00291AAD" w:rsidP="00291AAD">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10348"/>
      </w:tblGrid>
      <w:tr w:rsidR="00291AAD" w:rsidRPr="005241B8" w14:paraId="311C6291" w14:textId="77777777" w:rsidTr="00F2738E">
        <w:trPr>
          <w:trHeight w:val="510"/>
        </w:trPr>
        <w:tc>
          <w:tcPr>
            <w:tcW w:w="10348" w:type="dxa"/>
          </w:tcPr>
          <w:p w14:paraId="04FB208D" w14:textId="77777777" w:rsidR="00291AAD" w:rsidRPr="005241B8" w:rsidRDefault="00291AAD" w:rsidP="00F2738E">
            <w:pPr>
              <w:spacing w:before="120" w:after="120"/>
              <w:ind w:left="112"/>
              <w:rPr>
                <w:rFonts w:eastAsia="Calibri"/>
                <w:b/>
              </w:rPr>
            </w:pPr>
            <w:r w:rsidRPr="005241B8">
              <w:rPr>
                <w:rFonts w:eastAsia="Calibri"/>
                <w:b/>
              </w:rPr>
              <w:t>Commentary</w:t>
            </w:r>
          </w:p>
        </w:tc>
      </w:tr>
      <w:tr w:rsidR="00291AAD" w:rsidRPr="005241B8" w14:paraId="00ABA8FA" w14:textId="77777777" w:rsidTr="00F2738E">
        <w:trPr>
          <w:trHeight w:val="1217"/>
        </w:trPr>
        <w:tc>
          <w:tcPr>
            <w:tcW w:w="10348" w:type="dxa"/>
          </w:tcPr>
          <w:p w14:paraId="28FE27FF" w14:textId="77777777" w:rsidR="00291AAD" w:rsidRPr="005241B8" w:rsidRDefault="00291AAD" w:rsidP="00F2738E">
            <w:pPr>
              <w:spacing w:before="120" w:after="120"/>
              <w:ind w:left="111"/>
              <w:rPr>
                <w:rFonts w:eastAsia="Calibri"/>
                <w:b/>
                <w:bCs/>
              </w:rPr>
            </w:pPr>
            <w:bookmarkStart w:id="0" w:name="_Hlk499116078"/>
            <w:r>
              <w:rPr>
                <w:rFonts w:eastAsia="Calibri"/>
                <w:b/>
                <w:bCs/>
              </w:rPr>
              <w:t>Below</w:t>
            </w:r>
            <w:r w:rsidRPr="005241B8">
              <w:rPr>
                <w:rFonts w:eastAsia="Calibri"/>
                <w:b/>
                <w:bCs/>
              </w:rPr>
              <w:t xml:space="preserve"> tolerance. </w:t>
            </w:r>
          </w:p>
          <w:bookmarkEnd w:id="0"/>
          <w:p w14:paraId="39513AE1" w14:textId="77777777" w:rsidR="00291AAD" w:rsidRDefault="00291AAD" w:rsidP="00CA1794">
            <w:pPr>
              <w:spacing w:line="320" w:lineRule="exact"/>
              <w:ind w:left="113"/>
              <w:rPr>
                <w:rFonts w:eastAsia="Calibri"/>
              </w:rPr>
            </w:pPr>
            <w:r w:rsidRPr="2EC1FBC7">
              <w:rPr>
                <w:rFonts w:eastAsia="Calibri"/>
              </w:rPr>
              <w:t xml:space="preserve">We </w:t>
            </w:r>
            <w:r>
              <w:rPr>
                <w:rFonts w:eastAsia="Calibri"/>
              </w:rPr>
              <w:t xml:space="preserve">believe we </w:t>
            </w:r>
            <w:r w:rsidRPr="2EC1FBC7">
              <w:rPr>
                <w:rFonts w:eastAsia="Calibri"/>
              </w:rPr>
              <w:t xml:space="preserve">have a </w:t>
            </w:r>
            <w:r>
              <w:rPr>
                <w:rFonts w:eastAsia="Calibri"/>
              </w:rPr>
              <w:t>sound</w:t>
            </w:r>
            <w:r w:rsidRPr="2EC1FBC7">
              <w:rPr>
                <w:rFonts w:eastAsia="Calibri"/>
              </w:rPr>
              <w:t xml:space="preserve"> regulatory framework, </w:t>
            </w:r>
            <w:r>
              <w:rPr>
                <w:rFonts w:eastAsia="Calibri"/>
              </w:rPr>
              <w:t xml:space="preserve">which we continue to evolve in response to emerging risks and our own desire to continue to be risk-based, proportionate and data-driven. </w:t>
            </w:r>
          </w:p>
          <w:p w14:paraId="7C4C8A06" w14:textId="77777777" w:rsidR="00291AAD" w:rsidRDefault="00291AAD" w:rsidP="00CA1794">
            <w:pPr>
              <w:spacing w:line="320" w:lineRule="exact"/>
              <w:ind w:left="113"/>
              <w:rPr>
                <w:rFonts w:eastAsia="Calibri"/>
              </w:rPr>
            </w:pPr>
            <w:r>
              <w:rPr>
                <w:rFonts w:eastAsia="Calibri"/>
              </w:rPr>
              <w:t>Recent internal audits gave moderate assurance on Living Organ Donation approvals (March 2023) and the Effectiveness of the Inspection Process (April 2022</w:t>
            </w:r>
            <w:r w:rsidRPr="37A2F157">
              <w:rPr>
                <w:rFonts w:eastAsia="Calibri"/>
              </w:rPr>
              <w:t>).</w:t>
            </w:r>
          </w:p>
          <w:p w14:paraId="1F58028A" w14:textId="77777777" w:rsidR="00291AAD" w:rsidRDefault="00291AAD" w:rsidP="00CA1794">
            <w:pPr>
              <w:spacing w:line="320" w:lineRule="exact"/>
              <w:ind w:left="113"/>
              <w:rPr>
                <w:rFonts w:eastAsia="Calibri"/>
              </w:rPr>
            </w:pPr>
            <w:r>
              <w:rPr>
                <w:rFonts w:eastAsia="Calibri"/>
              </w:rPr>
              <w:t>The HTA has further refined its approach to living organ donation assessment in recognition of emerging risk and continues to play a significant role in multi-agency efforts to address risks related to some overseas travel for organ transplantation following the introduction of new offences under the Human Tissue Act in July 2022. An update was provided to the Board in June 2023, who approved our updated Living Organ Donation approvals policy.</w:t>
            </w:r>
          </w:p>
          <w:p w14:paraId="0E663370" w14:textId="77777777" w:rsidR="00291AAD" w:rsidRDefault="00291AAD" w:rsidP="00CA1794">
            <w:pPr>
              <w:spacing w:line="320" w:lineRule="exact"/>
              <w:ind w:left="113"/>
              <w:rPr>
                <w:rFonts w:eastAsia="Calibri"/>
              </w:rPr>
            </w:pPr>
            <w:r>
              <w:rPr>
                <w:rFonts w:eastAsia="Calibri"/>
              </w:rPr>
              <w:t xml:space="preserve">The HTA is continuing to evolve our approach to inspection, one of our core regulatory tools, introducing Evaluated Self-Assessments (ESAs) this year. We are on track with the further increased target for inspection coverage of 222 inspections for 2023/24 on existing licences, in addition to full assessment of all new licence applications. </w:t>
            </w:r>
          </w:p>
          <w:p w14:paraId="01D01839" w14:textId="77777777" w:rsidR="00291AAD" w:rsidRDefault="00291AAD" w:rsidP="00CA1794">
            <w:pPr>
              <w:spacing w:line="320" w:lineRule="exact"/>
              <w:ind w:left="113"/>
              <w:rPr>
                <w:rFonts w:eastAsia="Calibri"/>
              </w:rPr>
            </w:pPr>
            <w:r>
              <w:rPr>
                <w:rFonts w:eastAsia="Calibri"/>
              </w:rPr>
              <w:t xml:space="preserve">Inspection is only part of our regulatory toolkit, and we </w:t>
            </w:r>
            <w:r w:rsidRPr="005241B8">
              <w:rPr>
                <w:rFonts w:eastAsia="Calibri"/>
              </w:rPr>
              <w:t>continue to manag</w:t>
            </w:r>
            <w:r>
              <w:rPr>
                <w:rFonts w:eastAsia="Calibri"/>
              </w:rPr>
              <w:t>e</w:t>
            </w:r>
            <w:r w:rsidRPr="005241B8">
              <w:rPr>
                <w:rFonts w:eastAsia="Calibri"/>
              </w:rPr>
              <w:t xml:space="preserve"> and respond to incident reports</w:t>
            </w:r>
            <w:r>
              <w:rPr>
                <w:rFonts w:eastAsia="Calibri"/>
              </w:rPr>
              <w:t xml:space="preserve">, </w:t>
            </w:r>
            <w:r w:rsidRPr="005241B8">
              <w:rPr>
                <w:rFonts w:eastAsia="Calibri"/>
              </w:rPr>
              <w:t>whistleblowing / informant information</w:t>
            </w:r>
            <w:r>
              <w:rPr>
                <w:rFonts w:eastAsia="Calibri"/>
              </w:rPr>
              <w:t xml:space="preserve"> and provide advice and guidance to our sectors and the public. We also have an active programme of </w:t>
            </w:r>
            <w:r w:rsidRPr="005241B8">
              <w:rPr>
                <w:rFonts w:eastAsia="Calibri"/>
              </w:rPr>
              <w:t>engagement with our regulated sectors</w:t>
            </w:r>
            <w:r>
              <w:rPr>
                <w:rFonts w:eastAsia="Calibri"/>
              </w:rPr>
              <w:t xml:space="preserve"> and other relevant stakeholders</w:t>
            </w:r>
            <w:r w:rsidRPr="005241B8">
              <w:rPr>
                <w:rFonts w:eastAsia="Calibri"/>
                <w:bCs/>
              </w:rPr>
              <w:t>.</w:t>
            </w:r>
            <w:r>
              <w:rPr>
                <w:rFonts w:eastAsia="Calibri"/>
                <w:bCs/>
              </w:rPr>
              <w:t xml:space="preserve"> We have also recently undertaken a risk-focused data collection exercise across all licensed establishments.</w:t>
            </w:r>
          </w:p>
          <w:p w14:paraId="273DEF97" w14:textId="77777777" w:rsidR="00291AAD" w:rsidRDefault="00291AAD" w:rsidP="00CA1794">
            <w:pPr>
              <w:spacing w:line="320" w:lineRule="exact"/>
              <w:ind w:left="113"/>
              <w:rPr>
                <w:rFonts w:eastAsia="Calibri"/>
              </w:rPr>
            </w:pPr>
            <w:r>
              <w:rPr>
                <w:rFonts w:eastAsia="Calibri"/>
              </w:rPr>
              <w:t xml:space="preserve">We continue to be transparent about our regulatory activities and outcomes through various means, including publication of inspection reports, performance data and other data, such as the quarterly summaries of closed incidents reported to us. These provide public assurance on our delivery of core regulatory functions. We also provide suitable public comment on matters within our remit where relevant, including on our website and through engagement with media. </w:t>
            </w:r>
          </w:p>
          <w:p w14:paraId="0E1D4622" w14:textId="77777777" w:rsidR="00291AAD" w:rsidRDefault="00291AAD" w:rsidP="00CA1794">
            <w:pPr>
              <w:spacing w:line="320" w:lineRule="exact"/>
              <w:ind w:left="113"/>
              <w:rPr>
                <w:rFonts w:eastAsia="Calibri"/>
              </w:rPr>
            </w:pPr>
            <w:r>
              <w:rPr>
                <w:rFonts w:eastAsia="Calibri"/>
              </w:rPr>
              <w:t xml:space="preserve">We continue to support Sir Jonathan Michael’s Independent Investigation into offending at a hospital mortuary and are pursuing a programme of related activity, including with wider sector stakeholders, as set out in our published advice to the Secretary of State in December 2021. </w:t>
            </w:r>
          </w:p>
          <w:p w14:paraId="14183B67" w14:textId="77777777" w:rsidR="00291AAD" w:rsidRPr="005241B8" w:rsidRDefault="00291AAD" w:rsidP="00CA1794">
            <w:pPr>
              <w:spacing w:line="320" w:lineRule="exact"/>
              <w:ind w:left="113"/>
              <w:rPr>
                <w:rFonts w:eastAsia="Calibri"/>
              </w:rPr>
            </w:pPr>
            <w:r w:rsidRPr="00DB0A29">
              <w:rPr>
                <w:rFonts w:eastAsia="Calibri"/>
                <w:bCs/>
              </w:rPr>
              <w:t xml:space="preserve">SMT believes this risk </w:t>
            </w:r>
            <w:r>
              <w:rPr>
                <w:rFonts w:eastAsia="Calibri"/>
                <w:bCs/>
              </w:rPr>
              <w:t xml:space="preserve">is just below </w:t>
            </w:r>
            <w:r w:rsidRPr="00DB0A29">
              <w:rPr>
                <w:rFonts w:eastAsia="Calibri"/>
                <w:bCs/>
              </w:rPr>
              <w:t>tolerance.</w:t>
            </w:r>
            <w:r>
              <w:rPr>
                <w:rFonts w:eastAsia="Calibri"/>
                <w:bCs/>
              </w:rPr>
              <w:t xml:space="preserve"> </w:t>
            </w:r>
          </w:p>
        </w:tc>
      </w:tr>
    </w:tbl>
    <w:p w14:paraId="547E2808" w14:textId="77777777" w:rsidR="00291AAD" w:rsidRDefault="00291AAD" w:rsidP="00291AAD">
      <w:r>
        <w:br w:type="page"/>
      </w:r>
    </w:p>
    <w:p w14:paraId="06D29101" w14:textId="77777777" w:rsidR="00291AAD" w:rsidRPr="00061A30" w:rsidRDefault="00291AAD" w:rsidP="00291AAD">
      <w:pPr>
        <w:pStyle w:val="Heading2"/>
      </w:pPr>
      <w:r w:rsidRPr="0009257C">
        <w:t>R2: There is a risk that we will be unable to manage the lifecycle of a significant incident, event or issue impacting on the delivery of HTA objectives.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291AAD" w:rsidRPr="006776F7" w14:paraId="4D19FA77" w14:textId="77777777" w:rsidTr="00F2738E">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71186FD" w14:textId="77777777" w:rsidR="00291AAD" w:rsidRPr="006776F7" w:rsidRDefault="00291AAD" w:rsidP="00F2738E">
            <w:pPr>
              <w:spacing w:before="120" w:after="120" w:line="276" w:lineRule="auto"/>
              <w:ind w:left="41"/>
              <w:rPr>
                <w:rFonts w:eastAsia="Calibri"/>
                <w:b/>
              </w:rPr>
            </w:pPr>
            <w:r w:rsidRPr="006776F7">
              <w:rPr>
                <w:rFonts w:eastAsia="Calibri"/>
                <w:b/>
              </w:rPr>
              <w:t>Inherent risk level:</w:t>
            </w:r>
          </w:p>
        </w:tc>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6747785" w14:textId="77777777" w:rsidR="00291AAD" w:rsidRPr="006776F7" w:rsidRDefault="00291AAD" w:rsidP="00F2738E">
            <w:pPr>
              <w:spacing w:before="120" w:after="120" w:line="276" w:lineRule="auto"/>
              <w:ind w:left="41"/>
              <w:rPr>
                <w:rFonts w:eastAsia="Calibri"/>
                <w:b/>
              </w:rPr>
            </w:pPr>
            <w:r w:rsidRPr="006776F7">
              <w:rPr>
                <w:rFonts w:eastAsia="Calibri"/>
                <w:b/>
              </w:rPr>
              <w:t>Residual risk level:</w:t>
            </w:r>
          </w:p>
        </w:tc>
      </w:tr>
      <w:tr w:rsidR="00291AAD" w:rsidRPr="006776F7" w14:paraId="339243FA" w14:textId="77777777" w:rsidTr="00F2738E">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78AA7634" w14:textId="77777777" w:rsidR="00291AAD" w:rsidRPr="006776F7" w:rsidRDefault="00291AAD" w:rsidP="00F2738E">
            <w:pPr>
              <w:spacing w:before="120" w:after="120" w:line="276" w:lineRule="auto"/>
              <w:ind w:left="40"/>
              <w:rPr>
                <w:rFonts w:eastAsia="Calibri"/>
              </w:rPr>
            </w:pPr>
            <w:r w:rsidRPr="006776F7">
              <w:rPr>
                <w:rFonts w:eastAsia="Calibri"/>
              </w:rPr>
              <w:t xml:space="preserve">Likelihood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3E8593F7" w14:textId="77777777" w:rsidR="00291AAD" w:rsidRPr="006776F7" w:rsidRDefault="00291AAD" w:rsidP="00F2738E">
            <w:pPr>
              <w:spacing w:before="120" w:after="120" w:line="276" w:lineRule="auto"/>
              <w:ind w:left="40"/>
              <w:rPr>
                <w:rFonts w:eastAsia="Calibri"/>
              </w:rPr>
            </w:pPr>
            <w:r w:rsidRPr="006776F7">
              <w:rPr>
                <w:rFonts w:eastAsia="Calibri"/>
              </w:rPr>
              <w:t xml:space="preserve">Impact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258A33F0" w14:textId="77777777" w:rsidR="00291AAD" w:rsidRPr="006776F7" w:rsidRDefault="00291AAD" w:rsidP="00F2738E">
            <w:pPr>
              <w:spacing w:before="120" w:after="120" w:line="276" w:lineRule="auto"/>
              <w:ind w:left="40"/>
              <w:rPr>
                <w:rFonts w:eastAsia="Calibri"/>
              </w:rPr>
            </w:pPr>
            <w:r w:rsidRPr="006776F7">
              <w:rPr>
                <w:rFonts w:eastAsia="Calibri"/>
              </w:rPr>
              <w:t>Inherent risk</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41F7436C" w14:textId="77777777" w:rsidR="00291AAD" w:rsidRPr="006776F7" w:rsidRDefault="00291AAD" w:rsidP="00F2738E">
            <w:pPr>
              <w:spacing w:before="120" w:after="120" w:line="276" w:lineRule="auto"/>
              <w:ind w:left="40"/>
              <w:rPr>
                <w:rFonts w:eastAsia="Calibri"/>
              </w:rPr>
            </w:pPr>
            <w:r w:rsidRPr="006776F7">
              <w:rPr>
                <w:rFonts w:eastAsia="Calibri"/>
                <w:b/>
              </w:rPr>
              <w:t>Likelihood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45E259C8" w14:textId="77777777" w:rsidR="00291AAD" w:rsidRPr="006776F7" w:rsidRDefault="00291AAD" w:rsidP="00F2738E">
            <w:pPr>
              <w:spacing w:before="120" w:after="120" w:line="276" w:lineRule="auto"/>
              <w:ind w:left="40"/>
              <w:rPr>
                <w:rFonts w:eastAsia="Calibri"/>
                <w:b/>
              </w:rPr>
            </w:pPr>
            <w:r w:rsidRPr="006776F7">
              <w:rPr>
                <w:rFonts w:eastAsia="Calibri"/>
                <w:b/>
              </w:rPr>
              <w:t>Impact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179B1571" w14:textId="77777777" w:rsidR="00291AAD" w:rsidRPr="006776F7" w:rsidRDefault="00291AAD" w:rsidP="00F2738E">
            <w:pPr>
              <w:spacing w:before="120" w:after="120" w:line="276" w:lineRule="auto"/>
              <w:ind w:left="40"/>
              <w:rPr>
                <w:rFonts w:eastAsia="Calibri"/>
                <w:b/>
              </w:rPr>
            </w:pPr>
            <w:r w:rsidRPr="006776F7">
              <w:rPr>
                <w:rFonts w:eastAsia="Calibri"/>
                <w:b/>
              </w:rPr>
              <w:t>Residual risk</w:t>
            </w:r>
          </w:p>
        </w:tc>
      </w:tr>
      <w:tr w:rsidR="00291AAD" w:rsidRPr="006776F7" w14:paraId="5CA46E04" w14:textId="77777777" w:rsidTr="00F2738E">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6A2F1" w14:textId="77777777" w:rsidR="00291AAD" w:rsidRPr="006776F7" w:rsidRDefault="00291AAD" w:rsidP="00F2738E">
            <w:pPr>
              <w:spacing w:before="120" w:after="120" w:line="276" w:lineRule="auto"/>
              <w:ind w:left="40"/>
              <w:rPr>
                <w:rFonts w:eastAsia="Calibri"/>
              </w:rPr>
            </w:pPr>
            <w:r w:rsidRPr="066BF340">
              <w:rPr>
                <w:rFonts w:eastAsia="Calibri"/>
              </w:rPr>
              <w:t>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5B836" w14:textId="77777777" w:rsidR="00291AAD" w:rsidRPr="006776F7" w:rsidRDefault="00291AAD" w:rsidP="00F2738E">
            <w:pPr>
              <w:spacing w:before="120" w:after="120" w:line="276" w:lineRule="auto"/>
              <w:ind w:left="40"/>
              <w:rPr>
                <w:rFonts w:eastAsia="Calibri"/>
              </w:rPr>
            </w:pPr>
            <w:r w:rsidRPr="006776F7">
              <w:rPr>
                <w:rFonts w:eastAsia="Calibri"/>
              </w:rPr>
              <w:t>5</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0000"/>
          </w:tcPr>
          <w:p w14:paraId="2CD8E674" w14:textId="77777777" w:rsidR="00291AAD" w:rsidRPr="006776F7" w:rsidRDefault="00291AAD" w:rsidP="00F2738E">
            <w:pPr>
              <w:spacing w:before="120" w:after="120" w:line="276" w:lineRule="auto"/>
              <w:ind w:left="40"/>
              <w:rPr>
                <w:rFonts w:eastAsia="Calibri"/>
              </w:rPr>
            </w:pPr>
            <w:r>
              <w:rPr>
                <w:rFonts w:eastAsia="Calibri"/>
              </w:rPr>
              <w:t>20</w:t>
            </w:r>
            <w:r w:rsidRPr="007C2009">
              <w:rPr>
                <w:rFonts w:eastAsia="Calibri"/>
              </w:rPr>
              <w:t xml:space="preserve"> – </w:t>
            </w:r>
            <w:r>
              <w:rPr>
                <w:rFonts w:eastAsia="Calibri"/>
              </w:rPr>
              <w:t>Very h</w:t>
            </w:r>
            <w:r w:rsidRPr="007C2009">
              <w:rPr>
                <w:rFonts w:eastAsia="Calibri"/>
              </w:rPr>
              <w:t>igh</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0DCD21" w14:textId="77777777" w:rsidR="00291AAD" w:rsidRPr="006776F7" w:rsidRDefault="00291AAD" w:rsidP="00F2738E">
            <w:pPr>
              <w:spacing w:before="120" w:after="120" w:line="276" w:lineRule="auto"/>
              <w:ind w:left="40"/>
              <w:rPr>
                <w:rFonts w:eastAsia="Calibri"/>
                <w:b/>
              </w:rPr>
            </w:pPr>
            <w:r>
              <w:rPr>
                <w:rFonts w:eastAsia="Calibri"/>
                <w:b/>
              </w:rPr>
              <w:t>2</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832E6C" w14:textId="77777777" w:rsidR="00291AAD" w:rsidRPr="006776F7" w:rsidRDefault="00291AAD" w:rsidP="00F2738E">
            <w:pPr>
              <w:spacing w:before="120" w:after="120" w:line="276" w:lineRule="auto"/>
              <w:ind w:left="40"/>
              <w:rPr>
                <w:rFonts w:eastAsia="Calibri"/>
                <w:b/>
              </w:rPr>
            </w:pPr>
            <w:r>
              <w:rPr>
                <w:rFonts w:eastAsia="Calibri"/>
                <w:b/>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798D15C" w14:textId="77777777" w:rsidR="00291AAD" w:rsidRPr="006776F7" w:rsidRDefault="00291AAD" w:rsidP="00F2738E">
            <w:pPr>
              <w:spacing w:before="120" w:after="120" w:line="276" w:lineRule="auto"/>
              <w:ind w:left="40"/>
              <w:rPr>
                <w:rFonts w:eastAsia="Calibri"/>
                <w:b/>
              </w:rPr>
            </w:pPr>
            <w:r>
              <w:rPr>
                <w:rFonts w:eastAsia="Calibri"/>
                <w:b/>
              </w:rPr>
              <w:t>6 – Medium</w:t>
            </w:r>
          </w:p>
        </w:tc>
      </w:tr>
      <w:tr w:rsidR="00291AAD" w:rsidRPr="006776F7" w14:paraId="5E16383E" w14:textId="77777777" w:rsidTr="00F2738E">
        <w:tc>
          <w:tcPr>
            <w:tcW w:w="86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2B1D871D" w14:textId="77777777" w:rsidR="00291AAD" w:rsidRPr="006776F7" w:rsidRDefault="00291AAD" w:rsidP="00F2738E">
            <w:pPr>
              <w:spacing w:before="120" w:after="120" w:line="276" w:lineRule="auto"/>
              <w:ind w:left="40"/>
              <w:rPr>
                <w:rFonts w:eastAsia="Calibri"/>
                <w:b/>
              </w:rPr>
            </w:pPr>
            <w:r w:rsidRPr="006776F7">
              <w:rPr>
                <w:rFonts w:eastAsia="Calibri"/>
                <w:b/>
              </w:rPr>
              <w:t xml:space="preserve">Tolerance threshold: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6D54073" w14:textId="77777777" w:rsidR="00291AAD" w:rsidRPr="006776F7" w:rsidRDefault="00291AAD" w:rsidP="00F2738E">
            <w:pPr>
              <w:spacing w:before="120" w:after="120" w:line="276" w:lineRule="auto"/>
              <w:ind w:left="40"/>
              <w:rPr>
                <w:rFonts w:eastAsia="Calibri"/>
                <w:b/>
              </w:rPr>
            </w:pPr>
            <w:r w:rsidRPr="006776F7">
              <w:rPr>
                <w:rFonts w:eastAsia="Calibri"/>
                <w:b/>
              </w:rPr>
              <w:t xml:space="preserve">6 </w:t>
            </w:r>
            <w:r>
              <w:rPr>
                <w:rFonts w:eastAsia="Calibri"/>
                <w:b/>
              </w:rPr>
              <w:t>–</w:t>
            </w:r>
            <w:r w:rsidRPr="006776F7">
              <w:rPr>
                <w:rFonts w:eastAsia="Calibri"/>
                <w:b/>
              </w:rPr>
              <w:t xml:space="preserve"> Medium</w:t>
            </w:r>
          </w:p>
        </w:tc>
      </w:tr>
    </w:tbl>
    <w:p w14:paraId="157892C5" w14:textId="77777777" w:rsidR="00291AAD" w:rsidRPr="006776F7" w:rsidRDefault="00291AAD" w:rsidP="00291AAD">
      <w:pPr>
        <w:spacing w:line="276" w:lineRule="auto"/>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10348"/>
      </w:tblGrid>
      <w:tr w:rsidR="00291AAD" w:rsidRPr="006776F7" w14:paraId="0BDF8835" w14:textId="77777777" w:rsidTr="00F2738E">
        <w:trPr>
          <w:trHeight w:val="510"/>
        </w:trPr>
        <w:tc>
          <w:tcPr>
            <w:tcW w:w="10348" w:type="dxa"/>
          </w:tcPr>
          <w:p w14:paraId="4DA346CA" w14:textId="77777777" w:rsidR="00291AAD" w:rsidRPr="006776F7" w:rsidRDefault="00291AAD" w:rsidP="00F2738E">
            <w:pPr>
              <w:spacing w:before="120" w:after="120" w:line="276" w:lineRule="auto"/>
              <w:ind w:left="112"/>
              <w:rPr>
                <w:rFonts w:eastAsia="Calibri"/>
                <w:b/>
              </w:rPr>
            </w:pPr>
            <w:r w:rsidRPr="006776F7">
              <w:rPr>
                <w:rFonts w:eastAsia="Calibri"/>
                <w:b/>
              </w:rPr>
              <w:t>Commentary</w:t>
            </w:r>
          </w:p>
        </w:tc>
      </w:tr>
      <w:tr w:rsidR="00291AAD" w:rsidRPr="006776F7" w14:paraId="6841183B" w14:textId="77777777" w:rsidTr="00F2738E">
        <w:trPr>
          <w:trHeight w:val="1217"/>
        </w:trPr>
        <w:tc>
          <w:tcPr>
            <w:tcW w:w="10348" w:type="dxa"/>
          </w:tcPr>
          <w:p w14:paraId="1978FE0C" w14:textId="77777777" w:rsidR="00291AAD" w:rsidRPr="005241B8" w:rsidRDefault="00291AAD" w:rsidP="00F2738E">
            <w:pPr>
              <w:spacing w:before="120" w:after="120"/>
              <w:ind w:left="111"/>
              <w:rPr>
                <w:rFonts w:eastAsia="Calibri"/>
                <w:b/>
                <w:bCs/>
              </w:rPr>
            </w:pPr>
            <w:r>
              <w:rPr>
                <w:rFonts w:eastAsia="Calibri"/>
                <w:b/>
                <w:bCs/>
              </w:rPr>
              <w:t>At</w:t>
            </w:r>
            <w:r w:rsidRPr="005241B8">
              <w:rPr>
                <w:rFonts w:eastAsia="Calibri"/>
                <w:b/>
                <w:bCs/>
              </w:rPr>
              <w:t xml:space="preserve"> tolerance. </w:t>
            </w:r>
          </w:p>
          <w:p w14:paraId="51B6CCF4" w14:textId="77777777" w:rsidR="00291AAD" w:rsidRDefault="00291AAD" w:rsidP="00F2738E">
            <w:pPr>
              <w:spacing w:before="120" w:after="120" w:line="276" w:lineRule="auto"/>
              <w:ind w:left="111"/>
              <w:rPr>
                <w:rFonts w:eastAsia="Calibri"/>
                <w:bCs/>
              </w:rPr>
            </w:pPr>
            <w:r>
              <w:rPr>
                <w:rFonts w:eastAsia="Calibri"/>
                <w:bCs/>
              </w:rPr>
              <w:t>Th</w:t>
            </w:r>
            <w:r w:rsidRPr="006776F7">
              <w:rPr>
                <w:rFonts w:eastAsia="Calibri"/>
                <w:bCs/>
              </w:rPr>
              <w:t xml:space="preserve">is risk </w:t>
            </w:r>
            <w:r>
              <w:rPr>
                <w:rFonts w:eastAsia="Calibri"/>
                <w:bCs/>
              </w:rPr>
              <w:t xml:space="preserve">concerns </w:t>
            </w:r>
            <w:r w:rsidRPr="006776F7">
              <w:rPr>
                <w:rFonts w:eastAsia="Calibri"/>
                <w:bCs/>
              </w:rPr>
              <w:t>our ability to respond</w:t>
            </w:r>
            <w:r>
              <w:rPr>
                <w:rFonts w:eastAsia="Calibri"/>
                <w:bCs/>
              </w:rPr>
              <w:t xml:space="preserve"> to and manage incidents, irrespective of their nature or cause whilst maintaining delivery of core business objectives. It is not confined to incidents relating to our regulatory remit. </w:t>
            </w:r>
          </w:p>
          <w:p w14:paraId="6CE18820" w14:textId="77777777" w:rsidR="00291AAD" w:rsidRDefault="00291AAD" w:rsidP="00F2738E">
            <w:pPr>
              <w:spacing w:before="120" w:after="120" w:line="276" w:lineRule="auto"/>
              <w:ind w:left="111"/>
              <w:rPr>
                <w:rFonts w:eastAsia="Calibri"/>
              </w:rPr>
            </w:pPr>
            <w:r w:rsidRPr="14E6FF97">
              <w:rPr>
                <w:rFonts w:eastAsia="Calibri"/>
              </w:rPr>
              <w:t xml:space="preserve">We have rewritten our Critical Incident Response Plan and tested it during 2022/23 with specialist consultancy and completed a similar exercise for our Business Continuity Plan in Q1 2023/24. These have provided assurance on the effectiveness of our plans and our ability to use them. We will review both procedures annually and undertake a test with all staff each January to ensure that we are sufficiently prepared to manage incidents as they arise. </w:t>
            </w:r>
          </w:p>
          <w:p w14:paraId="23302B83" w14:textId="77777777" w:rsidR="00291AAD" w:rsidRDefault="00291AAD" w:rsidP="00F2738E">
            <w:pPr>
              <w:spacing w:before="120" w:after="120" w:line="276" w:lineRule="auto"/>
              <w:ind w:left="111"/>
              <w:rPr>
                <w:rFonts w:eastAsia="Calibri"/>
              </w:rPr>
            </w:pPr>
            <w:r w:rsidRPr="14E6FF97">
              <w:rPr>
                <w:rFonts w:eastAsia="Calibri"/>
              </w:rPr>
              <w:t xml:space="preserve">In addition, those plans have also been deployed and found effective in a number of differential circumstances over the past few years, including managing the impact of the pandemic and related restrictions, managing the potential impacts of EU Exit following the end of the Transition Period and in our mobilisation planning in preparation for the trial of Fuller. </w:t>
            </w:r>
          </w:p>
          <w:p w14:paraId="0A020C0C" w14:textId="77777777" w:rsidR="00291AAD" w:rsidRDefault="00291AAD" w:rsidP="00F2738E">
            <w:pPr>
              <w:spacing w:before="120" w:after="120" w:line="276" w:lineRule="auto"/>
              <w:ind w:left="111"/>
              <w:rPr>
                <w:rFonts w:eastAsia="Calibri"/>
              </w:rPr>
            </w:pPr>
            <w:r w:rsidRPr="14E6FF97">
              <w:rPr>
                <w:rFonts w:eastAsia="Calibri"/>
              </w:rPr>
              <w:t xml:space="preserve">Having increased the risk scoring in July 2021, in anticipation of the prospective Fuller trial, we now believe that the likelihood of this risk materialising has reduced. Sir Jonathan Michael’s Independent Inquiry into the circumstances of Fuller’s offending and any related wider concerns about settings in which the deceased are managed still continues and is expected to report on Phase 1 during 2023 and on Phase 2 in 2024. Given there are currently other criminal proceedings concerning unrelated matters within our broader remit, we believe there is still the potential for significant impact of an incident on our corporate objectives, either from those causes or others of which we may still be unaware. </w:t>
            </w:r>
          </w:p>
          <w:p w14:paraId="0B94D878" w14:textId="77777777" w:rsidR="00291AAD" w:rsidRPr="006776F7" w:rsidRDefault="00291AAD" w:rsidP="00F2738E">
            <w:pPr>
              <w:spacing w:before="120" w:after="120" w:line="276" w:lineRule="auto"/>
              <w:ind w:left="111"/>
              <w:rPr>
                <w:rFonts w:eastAsia="Calibri"/>
                <w:bCs/>
              </w:rPr>
            </w:pPr>
            <w:r>
              <w:rPr>
                <w:rFonts w:eastAsia="Calibri"/>
                <w:bCs/>
              </w:rPr>
              <w:t>Hence SMT considers the residual risk remains at the tolerance level.</w:t>
            </w:r>
          </w:p>
        </w:tc>
      </w:tr>
    </w:tbl>
    <w:p w14:paraId="244B88D2" w14:textId="77777777" w:rsidR="00291AAD" w:rsidRDefault="00291AAD" w:rsidP="00291AAD">
      <w:pPr>
        <w:pStyle w:val="Heading2"/>
      </w:pPr>
      <w:r>
        <w:br w:type="page"/>
      </w:r>
    </w:p>
    <w:p w14:paraId="00CC9DA9" w14:textId="77777777" w:rsidR="00291AAD" w:rsidRPr="008D326A" w:rsidRDefault="00291AAD" w:rsidP="00291AAD">
      <w:pPr>
        <w:pStyle w:val="Heading2"/>
      </w:pPr>
      <w:r w:rsidRPr="00061A30">
        <w:t xml:space="preserve">R3: There is a risk that we will fail to manage public and professional expectations of </w:t>
      </w:r>
      <w:r w:rsidRPr="008D326A">
        <w:t xml:space="preserve">human tissue regulation </w:t>
      </w:r>
      <w:r w:rsidRPr="008D326A">
        <w:rPr>
          <w:rFonts w:eastAsia="Arial" w:cs="Arial"/>
          <w:szCs w:val="24"/>
        </w:rPr>
        <w:t>stemming from limitations in current legislation, misperception of HTA regulatory reach and innovations in the use of human tissues and cells.</w:t>
      </w:r>
      <w:r w:rsidRPr="008D326A">
        <w:t xml:space="preserve"> </w:t>
      </w:r>
    </w:p>
    <w:p w14:paraId="44C906CE" w14:textId="77777777" w:rsidR="00291AAD" w:rsidRPr="000C3E1F" w:rsidRDefault="00291AAD" w:rsidP="00291AAD"/>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291AAD" w:rsidRPr="00A13C06" w14:paraId="3DF3A6B6" w14:textId="77777777" w:rsidTr="00F2738E">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6F16DF55" w14:textId="77777777" w:rsidR="00291AAD" w:rsidRPr="0021736D" w:rsidRDefault="00291AAD" w:rsidP="00F2738E">
            <w:pPr>
              <w:spacing w:before="120" w:after="120"/>
              <w:ind w:left="41"/>
              <w:rPr>
                <w:rFonts w:eastAsia="Calibri"/>
                <w:b/>
              </w:rPr>
            </w:pPr>
            <w:r w:rsidRPr="0021736D">
              <w:rPr>
                <w:rFonts w:eastAsia="Calibri"/>
                <w:b/>
              </w:rPr>
              <w:t>Inherent risk level:</w:t>
            </w:r>
          </w:p>
        </w:tc>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82A4A8" w14:textId="77777777" w:rsidR="00291AAD" w:rsidRPr="0021736D" w:rsidRDefault="00291AAD" w:rsidP="00F2738E">
            <w:pPr>
              <w:spacing w:before="120" w:after="120"/>
              <w:ind w:left="41"/>
              <w:rPr>
                <w:rFonts w:eastAsia="Calibri"/>
                <w:b/>
              </w:rPr>
            </w:pPr>
            <w:r w:rsidRPr="0021736D">
              <w:rPr>
                <w:rFonts w:eastAsia="Calibri"/>
                <w:b/>
              </w:rPr>
              <w:t>Residual risk level:</w:t>
            </w:r>
          </w:p>
        </w:tc>
      </w:tr>
      <w:tr w:rsidR="00291AAD" w:rsidRPr="00A13C06" w14:paraId="0429ED72" w14:textId="77777777" w:rsidTr="00F2738E">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474F5A40" w14:textId="77777777" w:rsidR="00291AAD" w:rsidRPr="0021736D" w:rsidRDefault="00291AAD" w:rsidP="00F2738E">
            <w:pPr>
              <w:spacing w:before="120" w:after="120"/>
              <w:ind w:left="40"/>
              <w:rPr>
                <w:rFonts w:eastAsia="Calibri"/>
              </w:rPr>
            </w:pPr>
            <w:r w:rsidRPr="0021736D">
              <w:rPr>
                <w:rFonts w:eastAsia="Calibri"/>
              </w:rPr>
              <w:t xml:space="preserve">Likelihood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4A4623B0" w14:textId="77777777" w:rsidR="00291AAD" w:rsidRPr="0021736D" w:rsidRDefault="00291AAD" w:rsidP="00F2738E">
            <w:pPr>
              <w:spacing w:before="120" w:after="120"/>
              <w:ind w:left="40"/>
              <w:rPr>
                <w:rFonts w:eastAsia="Calibri"/>
              </w:rPr>
            </w:pPr>
            <w:r w:rsidRPr="0021736D">
              <w:rPr>
                <w:rFonts w:eastAsia="Calibri"/>
              </w:rPr>
              <w:t xml:space="preserve">Impact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7FD3F9FD" w14:textId="77777777" w:rsidR="00291AAD" w:rsidRPr="0021736D" w:rsidRDefault="00291AAD" w:rsidP="00F2738E">
            <w:pPr>
              <w:spacing w:before="120" w:after="120"/>
              <w:ind w:left="40"/>
              <w:rPr>
                <w:rFonts w:eastAsia="Calibri"/>
              </w:rPr>
            </w:pPr>
            <w:r w:rsidRPr="0021736D">
              <w:rPr>
                <w:rFonts w:eastAsia="Calibri"/>
              </w:rPr>
              <w:t>Inherent risk</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022A6410" w14:textId="77777777" w:rsidR="00291AAD" w:rsidRPr="0021736D" w:rsidRDefault="00291AAD" w:rsidP="00F2738E">
            <w:pPr>
              <w:spacing w:before="120" w:after="120"/>
              <w:ind w:left="40"/>
              <w:rPr>
                <w:rFonts w:eastAsia="Calibri"/>
              </w:rPr>
            </w:pPr>
            <w:r w:rsidRPr="0021736D">
              <w:rPr>
                <w:rFonts w:eastAsia="Calibri"/>
                <w:b/>
              </w:rPr>
              <w:t>Likelihood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2F4D64BF" w14:textId="77777777" w:rsidR="00291AAD" w:rsidRPr="0021736D" w:rsidRDefault="00291AAD" w:rsidP="00F2738E">
            <w:pPr>
              <w:spacing w:before="120" w:after="120"/>
              <w:ind w:left="40"/>
              <w:rPr>
                <w:rFonts w:eastAsia="Calibri"/>
                <w:b/>
              </w:rPr>
            </w:pPr>
            <w:r w:rsidRPr="0021736D">
              <w:rPr>
                <w:rFonts w:eastAsia="Calibri"/>
                <w:b/>
              </w:rPr>
              <w:t>Impact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471ED04D" w14:textId="77777777" w:rsidR="00291AAD" w:rsidRPr="0021736D" w:rsidRDefault="00291AAD" w:rsidP="00F2738E">
            <w:pPr>
              <w:spacing w:before="120" w:after="120"/>
              <w:ind w:left="40"/>
              <w:rPr>
                <w:rFonts w:eastAsia="Calibri"/>
                <w:b/>
              </w:rPr>
            </w:pPr>
            <w:r w:rsidRPr="0021736D">
              <w:rPr>
                <w:rFonts w:eastAsia="Calibri"/>
                <w:b/>
              </w:rPr>
              <w:t>Residual risk</w:t>
            </w:r>
          </w:p>
        </w:tc>
      </w:tr>
      <w:tr w:rsidR="00291AAD" w:rsidRPr="00A13C06" w14:paraId="72B64334" w14:textId="77777777" w:rsidTr="00F2738E">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6EF3A" w14:textId="77777777" w:rsidR="00291AAD" w:rsidRPr="0021736D" w:rsidRDefault="00291AAD" w:rsidP="00F2738E">
            <w:pPr>
              <w:spacing w:before="120" w:after="120"/>
              <w:ind w:left="40"/>
              <w:rPr>
                <w:rFonts w:eastAsia="Calibri"/>
              </w:rPr>
            </w:pPr>
            <w:r w:rsidRPr="0021736D">
              <w:rPr>
                <w:rFonts w:eastAsia="Calibri"/>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94627A" w14:textId="77777777" w:rsidR="00291AAD" w:rsidRPr="0021736D" w:rsidRDefault="00291AAD" w:rsidP="00F2738E">
            <w:pPr>
              <w:spacing w:before="120" w:after="120"/>
              <w:ind w:left="40"/>
              <w:rPr>
                <w:rFonts w:eastAsia="Calibri"/>
              </w:rPr>
            </w:pPr>
            <w:r w:rsidRPr="0021736D">
              <w:rPr>
                <w:rFonts w:eastAsia="Calibri"/>
              </w:rPr>
              <w:t>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D92DD6D" w14:textId="30ACEDF2" w:rsidR="00291AAD" w:rsidRPr="0021736D" w:rsidRDefault="00291AAD" w:rsidP="00F2738E">
            <w:pPr>
              <w:spacing w:before="120" w:after="120"/>
              <w:ind w:left="40"/>
              <w:rPr>
                <w:rFonts w:eastAsia="Calibri"/>
              </w:rPr>
            </w:pPr>
            <w:r>
              <w:rPr>
                <w:rFonts w:eastAsia="Calibri"/>
              </w:rPr>
              <w:t xml:space="preserve">12 </w:t>
            </w:r>
            <w:r w:rsidR="00D624F4">
              <w:rPr>
                <w:rFonts w:eastAsia="Calibri"/>
              </w:rPr>
              <w:t>–</w:t>
            </w:r>
            <w:r>
              <w:rPr>
                <w:rFonts w:eastAsia="Calibri"/>
              </w:rPr>
              <w:t xml:space="preserve"> High</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458939" w14:textId="77777777" w:rsidR="00291AAD" w:rsidRPr="0021736D" w:rsidRDefault="00291AAD" w:rsidP="00F2738E">
            <w:pPr>
              <w:spacing w:before="120" w:after="120"/>
              <w:ind w:left="40"/>
              <w:rPr>
                <w:rFonts w:eastAsia="Calibri"/>
                <w:b/>
              </w:rPr>
            </w:pPr>
            <w:r>
              <w:rPr>
                <w:rFonts w:eastAsia="Calibri"/>
                <w:b/>
              </w:rPr>
              <w:t>3</w:t>
            </w:r>
            <w:r w:rsidRPr="0021736D">
              <w:rPr>
                <w:rFonts w:eastAsia="Calibri"/>
                <w:b/>
              </w:rPr>
              <w:t xml:space="preserve">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AE1565" w14:textId="77777777" w:rsidR="00291AAD" w:rsidRPr="0021736D" w:rsidRDefault="00291AAD" w:rsidP="00F2738E">
            <w:pPr>
              <w:spacing w:before="120" w:after="120"/>
              <w:ind w:left="40"/>
              <w:rPr>
                <w:rFonts w:eastAsia="Calibri"/>
                <w:b/>
              </w:rPr>
            </w:pPr>
            <w:r>
              <w:rPr>
                <w:rFonts w:eastAsia="Calibri"/>
                <w:b/>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5777452" w14:textId="77777777" w:rsidR="00291AAD" w:rsidRPr="0021736D" w:rsidRDefault="00291AAD" w:rsidP="00F2738E">
            <w:pPr>
              <w:spacing w:before="120" w:after="120"/>
              <w:ind w:left="40"/>
              <w:rPr>
                <w:rFonts w:eastAsia="Calibri"/>
                <w:b/>
              </w:rPr>
            </w:pPr>
            <w:r>
              <w:rPr>
                <w:rFonts w:eastAsia="Calibri"/>
                <w:b/>
              </w:rPr>
              <w:t>9</w:t>
            </w:r>
            <w:r w:rsidRPr="0021736D">
              <w:rPr>
                <w:rFonts w:eastAsia="Calibri"/>
                <w:b/>
              </w:rPr>
              <w:t xml:space="preserve"> – Medium</w:t>
            </w:r>
          </w:p>
        </w:tc>
      </w:tr>
      <w:tr w:rsidR="00291AAD" w:rsidRPr="00A13C06" w14:paraId="4ED1CDA7" w14:textId="77777777" w:rsidTr="00F2738E">
        <w:tc>
          <w:tcPr>
            <w:tcW w:w="86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53D24CA" w14:textId="77777777" w:rsidR="00291AAD" w:rsidRPr="0021736D" w:rsidRDefault="00291AAD" w:rsidP="00F2738E">
            <w:pPr>
              <w:spacing w:before="120" w:after="120"/>
              <w:ind w:left="40"/>
              <w:rPr>
                <w:rFonts w:eastAsia="Calibri"/>
                <w:b/>
              </w:rPr>
            </w:pPr>
            <w:r w:rsidRPr="0021736D">
              <w:rPr>
                <w:rFonts w:eastAsia="Calibri"/>
                <w:b/>
              </w:rPr>
              <w:t xml:space="preserve">Tolerance threshold: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25B93FD0" w14:textId="77777777" w:rsidR="00291AAD" w:rsidRPr="0021736D" w:rsidRDefault="00291AAD" w:rsidP="00F2738E">
            <w:pPr>
              <w:spacing w:before="120" w:after="120"/>
              <w:ind w:left="40"/>
              <w:rPr>
                <w:rFonts w:eastAsia="Calibri"/>
                <w:b/>
              </w:rPr>
            </w:pPr>
            <w:r w:rsidRPr="0021736D">
              <w:rPr>
                <w:rFonts w:eastAsia="Calibri"/>
                <w:b/>
              </w:rPr>
              <w:t xml:space="preserve">9 </w:t>
            </w:r>
            <w:r>
              <w:rPr>
                <w:rFonts w:eastAsia="Calibri"/>
                <w:b/>
              </w:rPr>
              <w:t>–</w:t>
            </w:r>
            <w:r w:rsidRPr="0021736D">
              <w:rPr>
                <w:rFonts w:eastAsia="Calibri"/>
                <w:b/>
              </w:rPr>
              <w:t xml:space="preserve"> Medium</w:t>
            </w:r>
          </w:p>
        </w:tc>
      </w:tr>
    </w:tbl>
    <w:p w14:paraId="61CB5742" w14:textId="77777777" w:rsidR="00291AAD" w:rsidRDefault="00291AAD" w:rsidP="00291AAD">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10348"/>
      </w:tblGrid>
      <w:tr w:rsidR="00291AAD" w:rsidRPr="00A13C06" w14:paraId="2550653A" w14:textId="77777777" w:rsidTr="00F2738E">
        <w:trPr>
          <w:trHeight w:val="510"/>
        </w:trPr>
        <w:tc>
          <w:tcPr>
            <w:tcW w:w="10348" w:type="dxa"/>
          </w:tcPr>
          <w:p w14:paraId="50DF65C7" w14:textId="74E4ADD1" w:rsidR="00291AAD" w:rsidRPr="0021736D" w:rsidRDefault="00291AAD" w:rsidP="00F2738E">
            <w:pPr>
              <w:spacing w:before="120" w:after="120" w:line="276" w:lineRule="auto"/>
              <w:ind w:left="112"/>
              <w:rPr>
                <w:rFonts w:eastAsia="Calibri"/>
                <w:b/>
              </w:rPr>
            </w:pPr>
            <w:r w:rsidRPr="0021736D">
              <w:rPr>
                <w:rFonts w:eastAsia="Calibri"/>
                <w:b/>
              </w:rPr>
              <w:t>Commentary</w:t>
            </w:r>
          </w:p>
        </w:tc>
      </w:tr>
      <w:tr w:rsidR="00291AAD" w:rsidRPr="00A13C06" w14:paraId="2A5841A0" w14:textId="77777777" w:rsidTr="00F2738E">
        <w:trPr>
          <w:trHeight w:val="1217"/>
        </w:trPr>
        <w:tc>
          <w:tcPr>
            <w:tcW w:w="10348" w:type="dxa"/>
          </w:tcPr>
          <w:p w14:paraId="1848250F" w14:textId="77777777" w:rsidR="00291AAD" w:rsidRPr="0021736D" w:rsidRDefault="00291AAD" w:rsidP="00F2738E">
            <w:pPr>
              <w:spacing w:before="120" w:after="120" w:line="276" w:lineRule="auto"/>
              <w:ind w:left="111"/>
              <w:rPr>
                <w:rFonts w:eastAsia="Calibri"/>
                <w:b/>
                <w:bCs/>
              </w:rPr>
            </w:pPr>
            <w:r>
              <w:rPr>
                <w:rFonts w:eastAsia="Calibri"/>
                <w:b/>
                <w:bCs/>
              </w:rPr>
              <w:t>At</w:t>
            </w:r>
            <w:r w:rsidRPr="0021736D">
              <w:rPr>
                <w:rFonts w:eastAsia="Calibri"/>
                <w:b/>
                <w:bCs/>
              </w:rPr>
              <w:t xml:space="preserve"> tolerance. </w:t>
            </w:r>
          </w:p>
          <w:p w14:paraId="22C272C3" w14:textId="137D59AD" w:rsidR="00291AAD" w:rsidRPr="000135F9" w:rsidRDefault="00291AAD" w:rsidP="00F2738E">
            <w:pPr>
              <w:ind w:left="111"/>
              <w:rPr>
                <w:rFonts w:eastAsia="Calibri"/>
              </w:rPr>
            </w:pPr>
            <w:r w:rsidRPr="14E6FF97">
              <w:rPr>
                <w:rFonts w:eastAsia="Calibri"/>
              </w:rPr>
              <w:t>The HTA has successfully completed year 1 of the delivery of its revised Communications &amp; Engagement Strategy. Progress on embedding the strategy and new channels and tools that have been adopted was reported to the Board at the end of June.</w:t>
            </w:r>
          </w:p>
          <w:p w14:paraId="18B9732A" w14:textId="77777777" w:rsidR="00291AAD" w:rsidRPr="000135F9" w:rsidRDefault="00291AAD" w:rsidP="00F2738E">
            <w:pPr>
              <w:ind w:left="111"/>
              <w:rPr>
                <w:rFonts w:eastAsia="Calibri"/>
              </w:rPr>
            </w:pPr>
            <w:r w:rsidRPr="14E6FF97">
              <w:rPr>
                <w:rFonts w:eastAsia="Calibri"/>
              </w:rPr>
              <w:t xml:space="preserve">The strategy is underpinned by a commitment for being more proactive and open in our communication and engagement with professionals and the public.  In the last quarter we have continued to embed sector-based forums and roundtables, strengthen social media presence, and proactively respond to media enquiries. The work of the Comms &amp; Engagement Team has contributed to the generation of positive headlines in relation to stories such as the first uterine transplant, press statements on successful prosecutions and strengthened partnerships with DHSC, ALBs and license holders.  </w:t>
            </w:r>
          </w:p>
          <w:p w14:paraId="09B73B61" w14:textId="3826A6C0" w:rsidR="00AD2992" w:rsidRPr="000135F9" w:rsidRDefault="00291AAD" w:rsidP="00AD2992">
            <w:pPr>
              <w:ind w:left="111"/>
              <w:rPr>
                <w:rFonts w:eastAsia="Calibri"/>
              </w:rPr>
            </w:pPr>
            <w:r w:rsidRPr="14E6FF97">
              <w:rPr>
                <w:rFonts w:eastAsia="Calibri"/>
              </w:rPr>
              <w:t>In addition to the strategy there has been a significant focus in Q1 &amp; 2 to ensure any published material including the experience of using the HTA website meets accessibility standards. The HTA’s website has been independently audited and identified some further opportunities to improve accessibility. A revised accessibility statement has been approved and published.</w:t>
            </w:r>
          </w:p>
          <w:p w14:paraId="06F1F404" w14:textId="73660B84" w:rsidR="00AD2992" w:rsidRPr="000135F9" w:rsidRDefault="00291AAD" w:rsidP="00AD2992">
            <w:pPr>
              <w:ind w:left="111"/>
              <w:rPr>
                <w:rFonts w:eastAsia="Calibri"/>
              </w:rPr>
            </w:pPr>
            <w:r w:rsidRPr="000135F9">
              <w:rPr>
                <w:rFonts w:eastAsia="Calibri"/>
              </w:rPr>
              <w:t>The HTA remains committed to improving the accessibility of all published information.</w:t>
            </w:r>
          </w:p>
          <w:p w14:paraId="03C2D140" w14:textId="061CFE66" w:rsidR="00291AAD" w:rsidRPr="000135F9" w:rsidRDefault="00291AAD" w:rsidP="00F2738E">
            <w:pPr>
              <w:ind w:left="111"/>
              <w:rPr>
                <w:rFonts w:eastAsia="Calibri"/>
              </w:rPr>
            </w:pPr>
            <w:r w:rsidRPr="14E6FF97">
              <w:rPr>
                <w:rFonts w:eastAsia="Calibri"/>
              </w:rPr>
              <w:t>The HTA acknowledges that to continue to regulate effectively it is important that it understand the impact of its activities whilst at the same time continuing to be responsive to innovation and growth across Life Sciences. The HTA is progressing work that seeks to assess the impact of the HTA as a regulator and its activities.  This will culminate in a publication the aim of which will be to share insight and feedback on the regulated activities and sectors and promote public confidence in the safe use of tissues and cells.</w:t>
            </w:r>
          </w:p>
          <w:p w14:paraId="63E242E3" w14:textId="77777777" w:rsidR="00291AAD" w:rsidRDefault="00291AAD" w:rsidP="00F2738E">
            <w:pPr>
              <w:ind w:left="111"/>
              <w:rPr>
                <w:rFonts w:eastAsia="Calibri"/>
              </w:rPr>
            </w:pPr>
            <w:r w:rsidRPr="14E6FF97">
              <w:rPr>
                <w:rFonts w:eastAsia="Calibri"/>
              </w:rPr>
              <w:t>Looking ahead at 2023/24 the HTA will be reviewing its Strategy. This will set the direction of travel for the next 3 years and potentially beyond as well as showcasing the ongoing importance of regulating the use of human tissues and cells.</w:t>
            </w:r>
          </w:p>
          <w:p w14:paraId="7A2CF8F8" w14:textId="77777777" w:rsidR="00291AAD" w:rsidRPr="00A13C06" w:rsidRDefault="00291AAD" w:rsidP="00F2738E">
            <w:pPr>
              <w:spacing w:line="276" w:lineRule="auto"/>
              <w:ind w:left="111"/>
              <w:rPr>
                <w:rFonts w:eastAsia="Calibri"/>
              </w:rPr>
            </w:pPr>
            <w:r w:rsidRPr="6A1AB05B">
              <w:rPr>
                <w:rFonts w:eastAsia="Calibri"/>
              </w:rPr>
              <w:t>SMT consider this risk to be at tolerance.</w:t>
            </w:r>
          </w:p>
        </w:tc>
      </w:tr>
    </w:tbl>
    <w:p w14:paraId="16DA5099" w14:textId="77777777" w:rsidR="00291AAD" w:rsidRDefault="00291AAD" w:rsidP="00291AAD">
      <w:pPr>
        <w:rPr>
          <w:b/>
        </w:rPr>
      </w:pPr>
      <w:r>
        <w:rPr>
          <w:rFonts w:eastAsia="Calibri"/>
          <w:b/>
        </w:rPr>
        <w:br w:type="page"/>
      </w:r>
      <w:r w:rsidRPr="00E97D37">
        <w:rPr>
          <w:b/>
        </w:rPr>
        <w:t xml:space="preserve">R4: </w:t>
      </w:r>
      <w:r>
        <w:rPr>
          <w:b/>
        </w:rPr>
        <w:t xml:space="preserve">Failure to adequately deliver </w:t>
      </w:r>
      <w:r w:rsidRPr="1CFD7198">
        <w:rPr>
          <w:b/>
        </w:rPr>
        <w:t>the</w:t>
      </w:r>
      <w:r>
        <w:rPr>
          <w:b/>
        </w:rPr>
        <w:t xml:space="preserve"> diverse, capable workforce the HTA requires or needs to fulfil its functions and objectives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291AAD" w:rsidRPr="00A13C06" w14:paraId="0F8010D5" w14:textId="77777777" w:rsidTr="00F2738E">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5052BD45" w14:textId="77777777" w:rsidR="00291AAD" w:rsidRPr="00E97D37" w:rsidRDefault="00291AAD" w:rsidP="00F2738E">
            <w:pPr>
              <w:spacing w:before="120" w:after="120"/>
              <w:ind w:left="41"/>
              <w:rPr>
                <w:rFonts w:eastAsia="Calibri"/>
                <w:b/>
              </w:rPr>
            </w:pPr>
            <w:r w:rsidRPr="00E97D37">
              <w:rPr>
                <w:rFonts w:eastAsia="Calibri"/>
                <w:b/>
              </w:rPr>
              <w:t>Inherent risk level:</w:t>
            </w:r>
          </w:p>
        </w:tc>
        <w:tc>
          <w:tcPr>
            <w:tcW w:w="517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133E90B" w14:textId="77777777" w:rsidR="00291AAD" w:rsidRPr="00E97D37" w:rsidRDefault="00291AAD" w:rsidP="00F2738E">
            <w:pPr>
              <w:spacing w:before="120" w:after="120"/>
              <w:ind w:left="41"/>
              <w:rPr>
                <w:rFonts w:eastAsia="Calibri"/>
                <w:b/>
              </w:rPr>
            </w:pPr>
            <w:r w:rsidRPr="00E97D37">
              <w:rPr>
                <w:rFonts w:eastAsia="Calibri"/>
                <w:b/>
              </w:rPr>
              <w:t>Residual risk level:</w:t>
            </w:r>
          </w:p>
        </w:tc>
      </w:tr>
      <w:tr w:rsidR="00291AAD" w:rsidRPr="00A13C06" w14:paraId="1277F97F" w14:textId="77777777" w:rsidTr="00F2738E">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3F1279F2" w14:textId="77777777" w:rsidR="00291AAD" w:rsidRPr="00E97D37" w:rsidRDefault="00291AAD" w:rsidP="00F2738E">
            <w:pPr>
              <w:spacing w:before="120" w:after="120"/>
              <w:ind w:left="40"/>
              <w:rPr>
                <w:rFonts w:eastAsia="Calibri"/>
              </w:rPr>
            </w:pPr>
            <w:r w:rsidRPr="00E97D37">
              <w:rPr>
                <w:rFonts w:eastAsia="Calibri"/>
              </w:rPr>
              <w:t xml:space="preserve">Likelihood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42DD0617" w14:textId="77777777" w:rsidR="00291AAD" w:rsidRPr="00E97D37" w:rsidRDefault="00291AAD" w:rsidP="00F2738E">
            <w:pPr>
              <w:spacing w:before="120" w:after="120"/>
              <w:ind w:left="40"/>
              <w:rPr>
                <w:rFonts w:eastAsia="Calibri"/>
              </w:rPr>
            </w:pPr>
            <w:r w:rsidRPr="00E97D37">
              <w:rPr>
                <w:rFonts w:eastAsia="Calibri"/>
              </w:rPr>
              <w:t xml:space="preserve">Impact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hideMark/>
          </w:tcPr>
          <w:p w14:paraId="343F7DA4" w14:textId="77777777" w:rsidR="00291AAD" w:rsidRPr="00E97D37" w:rsidRDefault="00291AAD" w:rsidP="00F2738E">
            <w:pPr>
              <w:spacing w:before="120" w:after="120"/>
              <w:ind w:left="40"/>
              <w:rPr>
                <w:rFonts w:eastAsia="Calibri"/>
              </w:rPr>
            </w:pPr>
            <w:r w:rsidRPr="00E97D37">
              <w:rPr>
                <w:rFonts w:eastAsia="Calibri"/>
              </w:rPr>
              <w:t>Inherent risk</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02C3DBE4" w14:textId="77777777" w:rsidR="00291AAD" w:rsidRPr="00E97D37" w:rsidRDefault="00291AAD" w:rsidP="00F2738E">
            <w:pPr>
              <w:spacing w:before="120" w:after="120"/>
              <w:ind w:left="40"/>
              <w:rPr>
                <w:rFonts w:eastAsia="Calibri"/>
              </w:rPr>
            </w:pPr>
            <w:r w:rsidRPr="00E97D37">
              <w:rPr>
                <w:rFonts w:eastAsia="Calibri"/>
                <w:b/>
              </w:rPr>
              <w:t>Likelihood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2ED76F1B" w14:textId="77777777" w:rsidR="00291AAD" w:rsidRPr="00E97D37" w:rsidRDefault="00291AAD" w:rsidP="00F2738E">
            <w:pPr>
              <w:spacing w:before="120" w:after="120"/>
              <w:ind w:left="40"/>
              <w:rPr>
                <w:rFonts w:eastAsia="Calibri"/>
                <w:b/>
              </w:rPr>
            </w:pPr>
            <w:r w:rsidRPr="00E97D37">
              <w:rPr>
                <w:rFonts w:eastAsia="Calibri"/>
                <w:b/>
              </w:rPr>
              <w:t>Impact</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5F0FF"/>
          </w:tcPr>
          <w:p w14:paraId="19CE17E9" w14:textId="77777777" w:rsidR="00291AAD" w:rsidRPr="00E97D37" w:rsidRDefault="00291AAD" w:rsidP="00F2738E">
            <w:pPr>
              <w:spacing w:before="120" w:after="120"/>
              <w:ind w:left="40"/>
              <w:rPr>
                <w:rFonts w:eastAsia="Calibri"/>
                <w:b/>
              </w:rPr>
            </w:pPr>
            <w:r w:rsidRPr="00E97D37">
              <w:rPr>
                <w:rFonts w:eastAsia="Calibri"/>
                <w:b/>
              </w:rPr>
              <w:t>Residual risk</w:t>
            </w:r>
          </w:p>
        </w:tc>
      </w:tr>
      <w:tr w:rsidR="00291AAD" w:rsidRPr="00A13C06" w14:paraId="61768E90" w14:textId="77777777" w:rsidTr="00F2738E">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B4B4A" w14:textId="77777777" w:rsidR="00291AAD" w:rsidRPr="00E97D37" w:rsidRDefault="00291AAD" w:rsidP="00F2738E">
            <w:pPr>
              <w:spacing w:before="120" w:after="120"/>
              <w:ind w:left="40"/>
              <w:rPr>
                <w:rFonts w:eastAsia="Calibri"/>
              </w:rPr>
            </w:pPr>
            <w:r>
              <w:rPr>
                <w:rFonts w:eastAsia="Calibri"/>
              </w:rPr>
              <w:t>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41AAC" w14:textId="77777777" w:rsidR="00291AAD" w:rsidRPr="00E97D37" w:rsidRDefault="00291AAD" w:rsidP="00F2738E">
            <w:pPr>
              <w:spacing w:before="120" w:after="120"/>
              <w:ind w:left="40"/>
              <w:rPr>
                <w:rFonts w:eastAsia="Calibri"/>
              </w:rPr>
            </w:pPr>
            <w:r>
              <w:rPr>
                <w:rFonts w:eastAsia="Calibri"/>
              </w:rPr>
              <w:t>3</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462FE238" w14:textId="7C81569C" w:rsidR="00291AAD" w:rsidRPr="00E97D37" w:rsidRDefault="00291AAD" w:rsidP="00F2738E">
            <w:pPr>
              <w:spacing w:before="120" w:after="120"/>
              <w:ind w:left="40"/>
              <w:rPr>
                <w:rFonts w:eastAsia="Calibri"/>
              </w:rPr>
            </w:pPr>
            <w:r>
              <w:rPr>
                <w:rFonts w:eastAsia="Calibri"/>
              </w:rPr>
              <w:t xml:space="preserve">12 </w:t>
            </w:r>
            <w:r w:rsidR="00D624F4">
              <w:rPr>
                <w:rFonts w:eastAsia="Calibri"/>
              </w:rPr>
              <w:t>–</w:t>
            </w:r>
            <w:r>
              <w:rPr>
                <w:rFonts w:eastAsia="Calibri"/>
              </w:rPr>
              <w:t xml:space="preserve"> High</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065EDA" w14:textId="77777777" w:rsidR="00291AAD" w:rsidRPr="00E97D37" w:rsidRDefault="00291AAD" w:rsidP="00F2738E">
            <w:pPr>
              <w:spacing w:before="120" w:after="120"/>
              <w:ind w:left="40"/>
              <w:rPr>
                <w:rFonts w:eastAsia="Calibri"/>
                <w:b/>
              </w:rPr>
            </w:pPr>
            <w:r>
              <w:rPr>
                <w:rFonts w:eastAsia="Calibri"/>
                <w:b/>
              </w:rPr>
              <w:t>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71A93D" w14:textId="77777777" w:rsidR="00291AAD" w:rsidRPr="00E97D37" w:rsidRDefault="00291AAD" w:rsidP="00F2738E">
            <w:pPr>
              <w:spacing w:before="120" w:after="120"/>
              <w:ind w:left="40"/>
              <w:rPr>
                <w:rFonts w:eastAsia="Calibri"/>
                <w:b/>
              </w:rPr>
            </w:pPr>
            <w:r>
              <w:rPr>
                <w:rFonts w:eastAsia="Calibri"/>
                <w:b/>
              </w:rPr>
              <w:t>4</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C000"/>
          </w:tcPr>
          <w:p w14:paraId="7C764D0B" w14:textId="77777777" w:rsidR="00291AAD" w:rsidRPr="00E97D37" w:rsidRDefault="00291AAD" w:rsidP="00F2738E">
            <w:pPr>
              <w:spacing w:before="120" w:after="120"/>
              <w:rPr>
                <w:rFonts w:eastAsia="Calibri"/>
                <w:b/>
              </w:rPr>
            </w:pPr>
            <w:r>
              <w:rPr>
                <w:rFonts w:eastAsia="Calibri"/>
                <w:b/>
              </w:rPr>
              <w:t>16 - Medium</w:t>
            </w:r>
          </w:p>
        </w:tc>
      </w:tr>
      <w:tr w:rsidR="00291AAD" w:rsidRPr="00A13C06" w14:paraId="17000C7A" w14:textId="77777777" w:rsidTr="00F2738E">
        <w:tc>
          <w:tcPr>
            <w:tcW w:w="86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1C4815FD" w14:textId="77777777" w:rsidR="00291AAD" w:rsidRPr="00E97D37" w:rsidRDefault="00291AAD" w:rsidP="00F2738E">
            <w:pPr>
              <w:spacing w:before="120" w:after="120"/>
              <w:ind w:left="40"/>
              <w:rPr>
                <w:rFonts w:eastAsia="Calibri"/>
                <w:b/>
              </w:rPr>
            </w:pPr>
            <w:r w:rsidRPr="00E97D37">
              <w:rPr>
                <w:rFonts w:eastAsia="Calibri"/>
                <w:b/>
              </w:rPr>
              <w:t xml:space="preserve">Tolerance threshold: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tcPr>
          <w:p w14:paraId="14803F10" w14:textId="77777777" w:rsidR="00291AAD" w:rsidRPr="00E97D37" w:rsidRDefault="00291AAD" w:rsidP="00F2738E">
            <w:pPr>
              <w:spacing w:before="120" w:after="120"/>
              <w:rPr>
                <w:rFonts w:eastAsia="Calibri"/>
                <w:b/>
              </w:rPr>
            </w:pPr>
            <w:r w:rsidRPr="00E97D37">
              <w:rPr>
                <w:rFonts w:eastAsia="Calibri"/>
                <w:b/>
              </w:rPr>
              <w:t xml:space="preserve">9 </w:t>
            </w:r>
            <w:r>
              <w:rPr>
                <w:rFonts w:eastAsia="Calibri"/>
                <w:b/>
              </w:rPr>
              <w:t>–</w:t>
            </w:r>
            <w:r w:rsidRPr="00E97D37">
              <w:rPr>
                <w:rFonts w:eastAsia="Calibri"/>
                <w:b/>
              </w:rPr>
              <w:t xml:space="preserve"> Medium</w:t>
            </w:r>
          </w:p>
        </w:tc>
      </w:tr>
    </w:tbl>
    <w:p w14:paraId="77EB589E" w14:textId="77777777" w:rsidR="00291AAD" w:rsidRDefault="00291AAD" w:rsidP="00291AAD">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A0" w:firstRow="1" w:lastRow="0" w:firstColumn="1" w:lastColumn="0" w:noHBand="0" w:noVBand="1"/>
      </w:tblPr>
      <w:tblGrid>
        <w:gridCol w:w="10348"/>
      </w:tblGrid>
      <w:tr w:rsidR="00291AAD" w:rsidRPr="00A13C06" w14:paraId="77A8A4EA" w14:textId="77777777" w:rsidTr="00F2738E">
        <w:trPr>
          <w:trHeight w:val="510"/>
        </w:trPr>
        <w:tc>
          <w:tcPr>
            <w:tcW w:w="10348" w:type="dxa"/>
          </w:tcPr>
          <w:p w14:paraId="1AB39D5C" w14:textId="77777777" w:rsidR="00291AAD" w:rsidRPr="00E97D37" w:rsidRDefault="00291AAD" w:rsidP="00F2738E">
            <w:pPr>
              <w:spacing w:before="120" w:after="120"/>
              <w:ind w:left="112"/>
              <w:rPr>
                <w:rFonts w:eastAsia="Calibri"/>
                <w:b/>
              </w:rPr>
            </w:pPr>
            <w:r w:rsidRPr="00E97D37">
              <w:rPr>
                <w:rFonts w:eastAsia="Calibri"/>
                <w:b/>
              </w:rPr>
              <w:t>Commentary</w:t>
            </w:r>
          </w:p>
        </w:tc>
      </w:tr>
      <w:tr w:rsidR="00291AAD" w:rsidRPr="00A13C06" w14:paraId="5F0769D7" w14:textId="77777777" w:rsidTr="00F2738E">
        <w:trPr>
          <w:trHeight w:val="1217"/>
        </w:trPr>
        <w:tc>
          <w:tcPr>
            <w:tcW w:w="10348" w:type="dxa"/>
          </w:tcPr>
          <w:p w14:paraId="1BCBA4B0" w14:textId="77777777" w:rsidR="00291AAD" w:rsidRPr="00A13C06" w:rsidRDefault="00291AAD" w:rsidP="00F2738E">
            <w:pPr>
              <w:spacing w:before="120" w:after="120"/>
              <w:ind w:left="111"/>
              <w:rPr>
                <w:rFonts w:eastAsia="Calibri"/>
                <w:b/>
                <w:bCs/>
              </w:rPr>
            </w:pPr>
            <w:r>
              <w:rPr>
                <w:rFonts w:eastAsia="Calibri"/>
                <w:b/>
                <w:bCs/>
              </w:rPr>
              <w:t>Above</w:t>
            </w:r>
            <w:r w:rsidRPr="00A13C06">
              <w:rPr>
                <w:rFonts w:eastAsia="Calibri"/>
                <w:b/>
                <w:bCs/>
              </w:rPr>
              <w:t xml:space="preserve"> tolerance. </w:t>
            </w:r>
          </w:p>
          <w:p w14:paraId="6E79BB31" w14:textId="77777777" w:rsidR="00291AAD" w:rsidRDefault="00291AAD" w:rsidP="00F2738E">
            <w:pPr>
              <w:spacing w:before="120" w:after="120"/>
              <w:ind w:left="111"/>
              <w:rPr>
                <w:rFonts w:eastAsia="Calibri"/>
              </w:rPr>
            </w:pPr>
            <w:r w:rsidRPr="6A1AB05B">
              <w:rPr>
                <w:rFonts w:eastAsia="Calibri"/>
              </w:rPr>
              <w:t xml:space="preserve">We started off the 2023/34 business year with far fewer vacancies to fill that the same period last year.  Churn and recruitment have returned to within expected tolerances, and we have been able to successfully fill most vacancies from the initial recruitment round. </w:t>
            </w:r>
          </w:p>
          <w:p w14:paraId="4F0F3D09" w14:textId="77777777" w:rsidR="00291AAD" w:rsidRDefault="00291AAD" w:rsidP="00F2738E">
            <w:pPr>
              <w:spacing w:before="120" w:after="120"/>
              <w:ind w:left="111"/>
              <w:rPr>
                <w:rFonts w:eastAsia="Calibri"/>
              </w:rPr>
            </w:pPr>
            <w:r w:rsidRPr="6A1AB05B">
              <w:rPr>
                <w:rFonts w:eastAsia="Calibri"/>
              </w:rPr>
              <w:t xml:space="preserve">Retention of colleagues will remain an issue, our overall package of salary and benefits remains competitive across the public sector sphere in which we operate – although headline gross pay does not always seem competitive with the NHS. Our revised approach to advertising, and the work to review our salary bands, will manage internal and external expectations around salary – although the continued absence of real terms pay progression to band maximum will likely mean that churn will remain an issue and the lack of progression within the organisation a barrier to retaining necessary internally developed skills.  We must continue to acknowledge that several of our functions rely on a single individual and that unexpected departures in key roles will inevitably impact on delivery of some key outputs in the short term – this risk is further exacerbated by the current DHSC controls on the use of contingent labour. </w:t>
            </w:r>
          </w:p>
          <w:p w14:paraId="16A57463" w14:textId="77777777" w:rsidR="00291AAD" w:rsidRPr="0009257C" w:rsidRDefault="00291AAD" w:rsidP="00F2738E">
            <w:pPr>
              <w:spacing w:before="120" w:after="120"/>
              <w:ind w:left="111"/>
              <w:rPr>
                <w:rFonts w:eastAsia="Calibri"/>
              </w:rPr>
            </w:pPr>
            <w:r w:rsidRPr="6A1AB05B">
              <w:rPr>
                <w:rFonts w:eastAsia="Calibri"/>
              </w:rPr>
              <w:t xml:space="preserve">There is a risk that the transition to outsourced shared services creates pressures on key HR operations in the short term as we transition, we will need to resource both ongoing operations and transition activities concurrently. There will also need to be careful management of areas such as corporate training and organisational development to ensure that this is not lost sight of as internal HR colleagues are required to focus more on transition and handover to CQC. In the medium term we feel the new service will provide a greater breadth of options and services available to our colleagues, as well as greater service resilience as it will be based within a large, structured HR team within CQC.   </w:t>
            </w:r>
          </w:p>
          <w:p w14:paraId="646EC5F1" w14:textId="77777777" w:rsidR="00291AAD" w:rsidRDefault="00291AAD" w:rsidP="00315896">
            <w:pPr>
              <w:spacing w:before="120" w:after="120" w:line="276" w:lineRule="auto"/>
              <w:ind w:left="116"/>
              <w:rPr>
                <w:rFonts w:eastAsia="Calibri"/>
              </w:rPr>
            </w:pPr>
            <w:r w:rsidRPr="6A1AB05B">
              <w:rPr>
                <w:rFonts w:eastAsia="Calibri"/>
              </w:rPr>
              <w:t>We recognise the risk of losing staff confidence in the service and will tailor communications to ensure that the process is clear to staff, including how the transition will proceed. We also recognise that we have single points of failure where individuals that hold significant amounts of organisational knowledge and understanding of HTA HR systems and processes and are engaging closely with CQC to manage any short-term risks to service continuity.</w:t>
            </w:r>
          </w:p>
          <w:p w14:paraId="08AC8F70" w14:textId="77777777" w:rsidR="00291AAD" w:rsidRPr="00A13C06" w:rsidRDefault="00291AAD" w:rsidP="00315896">
            <w:pPr>
              <w:spacing w:before="120" w:after="120" w:line="276" w:lineRule="auto"/>
              <w:ind w:left="116"/>
              <w:rPr>
                <w:rFonts w:eastAsia="Calibri"/>
              </w:rPr>
            </w:pPr>
            <w:r w:rsidRPr="6A1AB05B">
              <w:rPr>
                <w:rFonts w:eastAsia="Calibri"/>
              </w:rPr>
              <w:t>Long term absences amongst key staff and a delay in new employees starting is reflected in our residual risk scoring as we believe it impacts on our ability to deliver a capable and diverse workforce. This also is reflected in risk 8 (delivery of our business plan). There are plans in place to build in resilience across the organisation utilising staff within the Private Office function.</w:t>
            </w:r>
          </w:p>
        </w:tc>
      </w:tr>
    </w:tbl>
    <w:p w14:paraId="3A74591D" w14:textId="77777777" w:rsidR="00291AAD" w:rsidRDefault="00291AAD" w:rsidP="00291AAD"/>
    <w:p w14:paraId="1C8B789E" w14:textId="61F36565" w:rsidR="00291AAD" w:rsidRPr="007C2009" w:rsidRDefault="00291AAD" w:rsidP="00291AAD">
      <w:pPr>
        <w:pStyle w:val="Heading2"/>
        <w:rPr>
          <w:szCs w:val="24"/>
        </w:rPr>
      </w:pPr>
      <w:r w:rsidRPr="007C2009">
        <w:rPr>
          <w:szCs w:val="24"/>
        </w:rPr>
        <w:t>R5: There is a risk that the HTA has insufficient or ineffective management of its financial resources</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291AAD" w:rsidRPr="007C2009" w14:paraId="71102887" w14:textId="77777777" w:rsidTr="00F2738E">
        <w:tc>
          <w:tcPr>
            <w:tcW w:w="5174" w:type="dxa"/>
            <w:gridSpan w:val="3"/>
            <w:shd w:val="clear" w:color="auto" w:fill="auto"/>
            <w:hideMark/>
          </w:tcPr>
          <w:p w14:paraId="2D9EF907" w14:textId="77777777" w:rsidR="00291AAD" w:rsidRPr="007C2009" w:rsidRDefault="00291AAD" w:rsidP="00F2738E">
            <w:pPr>
              <w:spacing w:before="120" w:after="120"/>
              <w:ind w:left="41"/>
              <w:rPr>
                <w:rFonts w:eastAsia="Calibri"/>
                <w:b/>
              </w:rPr>
            </w:pPr>
            <w:r w:rsidRPr="007C2009">
              <w:rPr>
                <w:rFonts w:eastAsia="Calibri"/>
                <w:b/>
              </w:rPr>
              <w:t>Inherent risk level:</w:t>
            </w:r>
          </w:p>
        </w:tc>
        <w:tc>
          <w:tcPr>
            <w:tcW w:w="5174" w:type="dxa"/>
            <w:gridSpan w:val="3"/>
            <w:shd w:val="clear" w:color="auto" w:fill="auto"/>
          </w:tcPr>
          <w:p w14:paraId="46C43ACA" w14:textId="77777777" w:rsidR="00291AAD" w:rsidRPr="007C2009" w:rsidRDefault="00291AAD" w:rsidP="00F2738E">
            <w:pPr>
              <w:spacing w:before="120" w:after="120"/>
              <w:ind w:left="41"/>
              <w:rPr>
                <w:rFonts w:eastAsia="Calibri"/>
                <w:b/>
              </w:rPr>
            </w:pPr>
            <w:r w:rsidRPr="007C2009">
              <w:rPr>
                <w:rFonts w:eastAsia="Calibri"/>
                <w:b/>
              </w:rPr>
              <w:t>Residual risk level:</w:t>
            </w:r>
          </w:p>
        </w:tc>
      </w:tr>
      <w:tr w:rsidR="00291AAD" w:rsidRPr="007C2009" w14:paraId="5F86031C" w14:textId="77777777" w:rsidTr="00F2738E">
        <w:tc>
          <w:tcPr>
            <w:tcW w:w="1724" w:type="dxa"/>
            <w:shd w:val="clear" w:color="auto" w:fill="E5F0FF"/>
            <w:hideMark/>
          </w:tcPr>
          <w:p w14:paraId="13EFB862" w14:textId="77777777" w:rsidR="00291AAD" w:rsidRPr="007C2009" w:rsidRDefault="00291AAD" w:rsidP="00F2738E">
            <w:pPr>
              <w:spacing w:before="120" w:after="120"/>
              <w:ind w:left="40"/>
              <w:rPr>
                <w:rFonts w:eastAsia="Calibri"/>
              </w:rPr>
            </w:pPr>
            <w:r w:rsidRPr="007C2009">
              <w:rPr>
                <w:rFonts w:eastAsia="Calibri"/>
              </w:rPr>
              <w:t xml:space="preserve">Likelihood </w:t>
            </w:r>
          </w:p>
        </w:tc>
        <w:tc>
          <w:tcPr>
            <w:tcW w:w="1725" w:type="dxa"/>
            <w:shd w:val="clear" w:color="auto" w:fill="E5F0FF"/>
            <w:hideMark/>
          </w:tcPr>
          <w:p w14:paraId="6E814C75" w14:textId="77777777" w:rsidR="00291AAD" w:rsidRPr="007C2009" w:rsidRDefault="00291AAD" w:rsidP="00F2738E">
            <w:pPr>
              <w:spacing w:before="120" w:after="120"/>
              <w:ind w:left="40"/>
              <w:rPr>
                <w:rFonts w:eastAsia="Calibri"/>
              </w:rPr>
            </w:pPr>
            <w:r w:rsidRPr="007C2009">
              <w:rPr>
                <w:rFonts w:eastAsia="Calibri"/>
              </w:rPr>
              <w:t xml:space="preserve">Impact </w:t>
            </w:r>
          </w:p>
        </w:tc>
        <w:tc>
          <w:tcPr>
            <w:tcW w:w="1725" w:type="dxa"/>
            <w:shd w:val="clear" w:color="auto" w:fill="E5F0FF"/>
            <w:hideMark/>
          </w:tcPr>
          <w:p w14:paraId="715F21EE" w14:textId="77777777" w:rsidR="00291AAD" w:rsidRPr="007C2009" w:rsidRDefault="00291AAD" w:rsidP="00F2738E">
            <w:pPr>
              <w:spacing w:before="120" w:after="120"/>
              <w:ind w:left="40"/>
              <w:rPr>
                <w:rFonts w:eastAsia="Calibri"/>
              </w:rPr>
            </w:pPr>
            <w:r w:rsidRPr="007C2009">
              <w:rPr>
                <w:rFonts w:eastAsia="Calibri"/>
              </w:rPr>
              <w:t>Inherent risk</w:t>
            </w:r>
          </w:p>
        </w:tc>
        <w:tc>
          <w:tcPr>
            <w:tcW w:w="1724" w:type="dxa"/>
            <w:shd w:val="clear" w:color="auto" w:fill="E5F0FF"/>
          </w:tcPr>
          <w:p w14:paraId="69A5AA5C" w14:textId="77777777" w:rsidR="00291AAD" w:rsidRPr="007C2009" w:rsidRDefault="00291AAD" w:rsidP="00F2738E">
            <w:pPr>
              <w:spacing w:before="120" w:after="120"/>
              <w:ind w:left="40"/>
              <w:rPr>
                <w:rFonts w:eastAsia="Calibri"/>
              </w:rPr>
            </w:pPr>
            <w:r w:rsidRPr="007C2009">
              <w:rPr>
                <w:rFonts w:eastAsia="Calibri"/>
                <w:b/>
              </w:rPr>
              <w:t>Likelihood</w:t>
            </w:r>
          </w:p>
        </w:tc>
        <w:tc>
          <w:tcPr>
            <w:tcW w:w="1725" w:type="dxa"/>
            <w:shd w:val="clear" w:color="auto" w:fill="E5F0FF"/>
          </w:tcPr>
          <w:p w14:paraId="138571DA" w14:textId="77777777" w:rsidR="00291AAD" w:rsidRPr="007C2009" w:rsidRDefault="00291AAD" w:rsidP="00F2738E">
            <w:pPr>
              <w:spacing w:before="120" w:after="120"/>
              <w:ind w:left="40"/>
              <w:rPr>
                <w:rFonts w:eastAsia="Calibri"/>
                <w:b/>
              </w:rPr>
            </w:pPr>
            <w:r w:rsidRPr="007C2009">
              <w:rPr>
                <w:rFonts w:eastAsia="Calibri"/>
                <w:b/>
              </w:rPr>
              <w:t>Impact</w:t>
            </w:r>
          </w:p>
        </w:tc>
        <w:tc>
          <w:tcPr>
            <w:tcW w:w="1725" w:type="dxa"/>
            <w:shd w:val="clear" w:color="auto" w:fill="E5F0FF"/>
          </w:tcPr>
          <w:p w14:paraId="016D774A" w14:textId="77777777" w:rsidR="00291AAD" w:rsidRPr="007C2009" w:rsidRDefault="00291AAD" w:rsidP="00F2738E">
            <w:pPr>
              <w:spacing w:before="120" w:after="120"/>
              <w:ind w:left="40"/>
              <w:rPr>
                <w:rFonts w:eastAsia="Calibri"/>
                <w:b/>
              </w:rPr>
            </w:pPr>
            <w:r w:rsidRPr="007C2009">
              <w:rPr>
                <w:rFonts w:eastAsia="Calibri"/>
                <w:b/>
              </w:rPr>
              <w:t>Residual risk</w:t>
            </w:r>
          </w:p>
        </w:tc>
      </w:tr>
      <w:tr w:rsidR="00291AAD" w:rsidRPr="007C2009" w14:paraId="6EDDBAF1" w14:textId="77777777" w:rsidTr="00F2738E">
        <w:tc>
          <w:tcPr>
            <w:tcW w:w="1724" w:type="dxa"/>
          </w:tcPr>
          <w:p w14:paraId="33322FFA" w14:textId="77777777" w:rsidR="00291AAD" w:rsidRPr="007C2009" w:rsidRDefault="00291AAD" w:rsidP="00F2738E">
            <w:pPr>
              <w:spacing w:before="120" w:after="120"/>
              <w:ind w:left="40"/>
              <w:rPr>
                <w:rFonts w:eastAsia="Calibri"/>
              </w:rPr>
            </w:pPr>
            <w:r w:rsidRPr="007C2009">
              <w:rPr>
                <w:rFonts w:eastAsia="Calibri"/>
              </w:rPr>
              <w:t>4</w:t>
            </w:r>
          </w:p>
        </w:tc>
        <w:tc>
          <w:tcPr>
            <w:tcW w:w="1725" w:type="dxa"/>
          </w:tcPr>
          <w:p w14:paraId="276750DB" w14:textId="77777777" w:rsidR="00291AAD" w:rsidRPr="007C2009" w:rsidRDefault="00291AAD" w:rsidP="00F2738E">
            <w:pPr>
              <w:spacing w:before="120" w:after="120"/>
              <w:ind w:left="40"/>
              <w:rPr>
                <w:rFonts w:eastAsia="Calibri"/>
              </w:rPr>
            </w:pPr>
            <w:r w:rsidRPr="007C2009">
              <w:rPr>
                <w:rFonts w:eastAsia="Calibri"/>
              </w:rPr>
              <w:t>5</w:t>
            </w:r>
          </w:p>
        </w:tc>
        <w:tc>
          <w:tcPr>
            <w:tcW w:w="1725" w:type="dxa"/>
            <w:shd w:val="clear" w:color="auto" w:fill="FF0000"/>
          </w:tcPr>
          <w:p w14:paraId="41959C87" w14:textId="77777777" w:rsidR="00291AAD" w:rsidRPr="007C2009" w:rsidRDefault="00291AAD" w:rsidP="00F2738E">
            <w:pPr>
              <w:spacing w:before="120" w:after="120"/>
              <w:ind w:left="40"/>
              <w:rPr>
                <w:rFonts w:eastAsia="Calibri"/>
              </w:rPr>
            </w:pPr>
            <w:r>
              <w:rPr>
                <w:rFonts w:eastAsia="Calibri"/>
              </w:rPr>
              <w:t>20</w:t>
            </w:r>
            <w:r w:rsidRPr="007C2009">
              <w:rPr>
                <w:rFonts w:eastAsia="Calibri"/>
              </w:rPr>
              <w:t xml:space="preserve"> – </w:t>
            </w:r>
            <w:r>
              <w:rPr>
                <w:rFonts w:eastAsia="Calibri"/>
              </w:rPr>
              <w:t>Very h</w:t>
            </w:r>
            <w:r w:rsidRPr="007C2009">
              <w:rPr>
                <w:rFonts w:eastAsia="Calibri"/>
              </w:rPr>
              <w:t>igh</w:t>
            </w:r>
          </w:p>
        </w:tc>
        <w:tc>
          <w:tcPr>
            <w:tcW w:w="1724" w:type="dxa"/>
            <w:shd w:val="clear" w:color="auto" w:fill="auto"/>
          </w:tcPr>
          <w:p w14:paraId="23A2BF03" w14:textId="77777777" w:rsidR="00291AAD" w:rsidRPr="007C2009" w:rsidRDefault="00291AAD" w:rsidP="00F2738E">
            <w:pPr>
              <w:spacing w:before="120" w:after="120"/>
              <w:ind w:left="40"/>
              <w:rPr>
                <w:rFonts w:eastAsia="Calibri"/>
                <w:b/>
              </w:rPr>
            </w:pPr>
            <w:r>
              <w:rPr>
                <w:rFonts w:eastAsia="Calibri"/>
                <w:b/>
              </w:rPr>
              <w:t>3</w:t>
            </w:r>
          </w:p>
        </w:tc>
        <w:tc>
          <w:tcPr>
            <w:tcW w:w="1725" w:type="dxa"/>
            <w:shd w:val="clear" w:color="auto" w:fill="auto"/>
          </w:tcPr>
          <w:p w14:paraId="35869302" w14:textId="77777777" w:rsidR="00291AAD" w:rsidRPr="007C2009" w:rsidRDefault="00291AAD" w:rsidP="00F2738E">
            <w:pPr>
              <w:spacing w:before="120" w:after="120"/>
              <w:ind w:left="40"/>
              <w:rPr>
                <w:rFonts w:eastAsia="Calibri"/>
                <w:b/>
              </w:rPr>
            </w:pPr>
            <w:r>
              <w:rPr>
                <w:rFonts w:eastAsia="Calibri"/>
                <w:b/>
              </w:rPr>
              <w:t>3</w:t>
            </w:r>
          </w:p>
        </w:tc>
        <w:tc>
          <w:tcPr>
            <w:tcW w:w="1725" w:type="dxa"/>
            <w:shd w:val="clear" w:color="auto" w:fill="FFFF00"/>
          </w:tcPr>
          <w:p w14:paraId="06C2810E" w14:textId="77777777" w:rsidR="00291AAD" w:rsidRPr="007C2009" w:rsidRDefault="00291AAD" w:rsidP="00F2738E">
            <w:pPr>
              <w:spacing w:before="120" w:after="120"/>
              <w:ind w:left="40"/>
              <w:rPr>
                <w:rFonts w:eastAsia="Calibri"/>
                <w:b/>
                <w:bCs/>
                <w:highlight w:val="yellow"/>
              </w:rPr>
            </w:pPr>
            <w:r w:rsidRPr="6A1AB05B">
              <w:rPr>
                <w:rFonts w:eastAsia="Calibri"/>
                <w:b/>
                <w:bCs/>
              </w:rPr>
              <w:t xml:space="preserve"> </w:t>
            </w:r>
            <w:r w:rsidRPr="6A1AB05B">
              <w:rPr>
                <w:rFonts w:eastAsia="Calibri"/>
                <w:b/>
                <w:bCs/>
                <w:highlight w:val="yellow"/>
              </w:rPr>
              <w:t>9 – Medium</w:t>
            </w:r>
          </w:p>
        </w:tc>
      </w:tr>
      <w:tr w:rsidR="00291AAD" w:rsidRPr="007C2009" w14:paraId="2BD87A33" w14:textId="77777777" w:rsidTr="00F2738E">
        <w:tc>
          <w:tcPr>
            <w:tcW w:w="8623" w:type="dxa"/>
            <w:gridSpan w:val="5"/>
            <w:shd w:val="clear" w:color="auto" w:fill="auto"/>
            <w:hideMark/>
          </w:tcPr>
          <w:p w14:paraId="4B59ACFB" w14:textId="77777777" w:rsidR="00291AAD" w:rsidRPr="007C2009" w:rsidRDefault="00291AAD" w:rsidP="00F2738E">
            <w:pPr>
              <w:spacing w:before="120" w:after="120"/>
              <w:ind w:left="40"/>
              <w:rPr>
                <w:rFonts w:eastAsia="Calibri"/>
                <w:b/>
              </w:rPr>
            </w:pPr>
            <w:r w:rsidRPr="007C2009">
              <w:rPr>
                <w:rFonts w:eastAsia="Calibri"/>
                <w:b/>
              </w:rPr>
              <w:t xml:space="preserve">Tolerance threshold: </w:t>
            </w:r>
          </w:p>
        </w:tc>
        <w:tc>
          <w:tcPr>
            <w:tcW w:w="1725" w:type="dxa"/>
            <w:shd w:val="clear" w:color="auto" w:fill="00B0F0"/>
          </w:tcPr>
          <w:p w14:paraId="4A4DF5B8" w14:textId="77777777" w:rsidR="00291AAD" w:rsidRPr="007C2009" w:rsidRDefault="00291AAD" w:rsidP="00F2738E">
            <w:pPr>
              <w:spacing w:before="120" w:after="120"/>
              <w:ind w:left="40"/>
              <w:rPr>
                <w:rFonts w:eastAsia="Calibri"/>
                <w:b/>
              </w:rPr>
            </w:pPr>
            <w:r w:rsidRPr="007C2009">
              <w:rPr>
                <w:rFonts w:eastAsia="Calibri"/>
                <w:b/>
              </w:rPr>
              <w:t xml:space="preserve"> </w:t>
            </w:r>
            <w:r>
              <w:rPr>
                <w:rFonts w:eastAsia="Calibri"/>
                <w:b/>
              </w:rPr>
              <w:t>3</w:t>
            </w:r>
            <w:r w:rsidRPr="007C2009">
              <w:rPr>
                <w:rFonts w:eastAsia="Calibri"/>
                <w:b/>
              </w:rPr>
              <w:t xml:space="preserve"> </w:t>
            </w:r>
            <w:r>
              <w:rPr>
                <w:rFonts w:eastAsia="Calibri"/>
                <w:b/>
              </w:rPr>
              <w:t>–</w:t>
            </w:r>
            <w:r w:rsidRPr="007C2009">
              <w:rPr>
                <w:rFonts w:eastAsia="Calibri"/>
                <w:b/>
              </w:rPr>
              <w:t xml:space="preserve"> Low</w:t>
            </w:r>
          </w:p>
        </w:tc>
      </w:tr>
    </w:tbl>
    <w:p w14:paraId="2AD4AEA6" w14:textId="77777777" w:rsidR="00291AAD" w:rsidRDefault="00291AAD" w:rsidP="00291AAD">
      <w:pPr>
        <w:rPr>
          <w:rFonts w:eastAsia="Calibri"/>
          <w:b/>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008E90"/>
        </w:tblBorders>
        <w:tblLayout w:type="fixed"/>
        <w:tblCellMar>
          <w:left w:w="28" w:type="dxa"/>
          <w:right w:w="28" w:type="dxa"/>
        </w:tblCellMar>
        <w:tblLook w:val="04A0" w:firstRow="1" w:lastRow="0" w:firstColumn="1" w:lastColumn="0" w:noHBand="0" w:noVBand="1"/>
      </w:tblPr>
      <w:tblGrid>
        <w:gridCol w:w="10348"/>
      </w:tblGrid>
      <w:tr w:rsidR="00291AAD" w:rsidRPr="002F2A86" w14:paraId="091D69E2" w14:textId="77777777" w:rsidTr="00F2738E">
        <w:trPr>
          <w:trHeight w:val="510"/>
        </w:trPr>
        <w:tc>
          <w:tcPr>
            <w:tcW w:w="10348" w:type="dxa"/>
          </w:tcPr>
          <w:p w14:paraId="3C3CF204" w14:textId="77777777" w:rsidR="00291AAD" w:rsidRPr="007C2009" w:rsidRDefault="00291AAD" w:rsidP="00F2738E">
            <w:pPr>
              <w:spacing w:before="120" w:after="120" w:line="276" w:lineRule="auto"/>
              <w:ind w:left="112"/>
              <w:rPr>
                <w:rFonts w:eastAsia="Calibri"/>
                <w:b/>
              </w:rPr>
            </w:pPr>
            <w:r w:rsidRPr="007C2009">
              <w:rPr>
                <w:rFonts w:eastAsia="Calibri"/>
                <w:b/>
              </w:rPr>
              <w:t>Commentary</w:t>
            </w:r>
          </w:p>
        </w:tc>
      </w:tr>
      <w:tr w:rsidR="00291AAD" w:rsidRPr="002F2A86" w14:paraId="13EC74A4" w14:textId="77777777" w:rsidTr="00F2738E">
        <w:trPr>
          <w:trHeight w:val="2128"/>
        </w:trPr>
        <w:tc>
          <w:tcPr>
            <w:tcW w:w="10348" w:type="dxa"/>
          </w:tcPr>
          <w:p w14:paraId="4873C231" w14:textId="77777777" w:rsidR="00291AAD" w:rsidRPr="007C2009" w:rsidRDefault="00291AAD" w:rsidP="00F2738E">
            <w:pPr>
              <w:spacing w:before="120" w:after="120" w:line="276" w:lineRule="auto"/>
              <w:ind w:left="111" w:right="114"/>
              <w:rPr>
                <w:rFonts w:eastAsia="Calibri"/>
                <w:b/>
              </w:rPr>
            </w:pPr>
            <w:r>
              <w:rPr>
                <w:rFonts w:eastAsia="Calibri"/>
                <w:b/>
              </w:rPr>
              <w:t>Above</w:t>
            </w:r>
            <w:r w:rsidRPr="007C2009">
              <w:rPr>
                <w:rFonts w:eastAsia="Calibri"/>
                <w:b/>
              </w:rPr>
              <w:t xml:space="preserve"> tolerance.</w:t>
            </w:r>
          </w:p>
          <w:p w14:paraId="1BEDA965" w14:textId="77777777" w:rsidR="00291AAD" w:rsidRDefault="00291AAD" w:rsidP="00F2738E">
            <w:pPr>
              <w:spacing w:line="276" w:lineRule="auto"/>
              <w:ind w:left="112"/>
              <w:rPr>
                <w:rFonts w:eastAsia="Calibri"/>
              </w:rPr>
            </w:pPr>
            <w:r w:rsidRPr="6A1AB05B">
              <w:rPr>
                <w:rFonts w:eastAsia="Calibri"/>
              </w:rPr>
              <w:t>Budgets for 2023/24 have been agreed and delegation letters to Directors issued.  Our Grant in Aid (GIA) funding from the Department has been confirmed at previous levels and we have been provided with cover for asset purchases (Capital DEL - £30k) and depreciation and amortisation costs (Ring Fenced RDEL). Submissions were made to Ministers regarding options to generate reductions in GIA delegations for 2023/24 and 2024/25 and this has been confirmed wef 1</w:t>
            </w:r>
            <w:r w:rsidRPr="6A1AB05B">
              <w:rPr>
                <w:rFonts w:eastAsia="Calibri"/>
                <w:vertAlign w:val="superscript"/>
              </w:rPr>
              <w:t>st</w:t>
            </w:r>
            <w:r w:rsidRPr="6A1AB05B">
              <w:rPr>
                <w:rFonts w:eastAsia="Calibri"/>
              </w:rPr>
              <w:t xml:space="preserve"> April 2024 but with no reductions in the 2023/24 GIA.</w:t>
            </w:r>
          </w:p>
          <w:p w14:paraId="07884822" w14:textId="77777777" w:rsidR="00291AAD" w:rsidRDefault="00291AAD" w:rsidP="00F2738E">
            <w:pPr>
              <w:spacing w:line="276" w:lineRule="auto"/>
              <w:ind w:left="112"/>
              <w:rPr>
                <w:rFonts w:eastAsia="Calibri"/>
              </w:rPr>
            </w:pPr>
            <w:r w:rsidRPr="6A1AB05B">
              <w:rPr>
                <w:rFonts w:eastAsia="Calibri"/>
              </w:rPr>
              <w:t xml:space="preserve">The budget for 2023/24 has absorbed several pressures, including additional costs related to the support of the Independent Inquiry. A number of work programmes at the start of the year were part funded with the expectation that underspends will emerge through staff churn, and that licence fee income will again significantly overshoot our estimate.  </w:t>
            </w:r>
          </w:p>
          <w:p w14:paraId="1243FBEC" w14:textId="77777777" w:rsidR="00291AAD" w:rsidRDefault="00291AAD" w:rsidP="00F2738E">
            <w:pPr>
              <w:spacing w:line="276" w:lineRule="auto"/>
              <w:ind w:left="112"/>
              <w:rPr>
                <w:rFonts w:eastAsia="Calibri"/>
              </w:rPr>
            </w:pPr>
            <w:r w:rsidRPr="6A1AB05B">
              <w:rPr>
                <w:rFonts w:eastAsia="Calibri"/>
              </w:rPr>
              <w:t xml:space="preserve">We are currently forecasting an overspend as </w:t>
            </w:r>
            <w:r w:rsidRPr="14E6FF97">
              <w:rPr>
                <w:rFonts w:eastAsia="Calibri"/>
              </w:rPr>
              <w:t>the underspend</w:t>
            </w:r>
            <w:r w:rsidRPr="6A1AB05B">
              <w:rPr>
                <w:rFonts w:eastAsia="Calibri"/>
              </w:rPr>
              <w:t xml:space="preserve"> through staff churn or the expected increase in our income has </w:t>
            </w:r>
            <w:r w:rsidRPr="14E6FF97">
              <w:rPr>
                <w:rFonts w:eastAsia="Calibri"/>
              </w:rPr>
              <w:t xml:space="preserve">not </w:t>
            </w:r>
            <w:r w:rsidRPr="6A1AB05B">
              <w:rPr>
                <w:rFonts w:eastAsia="Calibri"/>
              </w:rPr>
              <w:t xml:space="preserve">materialised. This will need to be carefully monitored and managed through the rest of the financial year and we could require decisions to pause some programmed work to ensure that the HTA does not exceed its spending controls, though we are not actively holding back planned spend at this stage. </w:t>
            </w:r>
          </w:p>
          <w:p w14:paraId="55244FB8" w14:textId="77777777" w:rsidR="00291AAD" w:rsidRDefault="00291AAD" w:rsidP="00F2738E">
            <w:pPr>
              <w:spacing w:line="276" w:lineRule="auto"/>
              <w:ind w:left="112"/>
              <w:rPr>
                <w:rFonts w:eastAsia="Calibri"/>
              </w:rPr>
            </w:pPr>
            <w:r w:rsidRPr="6A1AB05B">
              <w:rPr>
                <w:rFonts w:eastAsia="Calibri"/>
              </w:rPr>
              <w:t>Requests to the Department have been made for additional GIA to fund the support to the Fuller Inquiry where we had previously thought we could absorb this cost, though this additional funding cannot be relied on, or could potentially be approved later in the year when we would have less opportunity to plan for and realise the benefits from it</w:t>
            </w:r>
            <w:r w:rsidRPr="14E6FF97">
              <w:rPr>
                <w:rFonts w:eastAsia="Calibri"/>
              </w:rPr>
              <w:t>.</w:t>
            </w:r>
          </w:p>
          <w:p w14:paraId="6D132E84" w14:textId="77777777" w:rsidR="00291AAD" w:rsidRPr="00937F3F" w:rsidRDefault="00291AAD" w:rsidP="00F2738E">
            <w:pPr>
              <w:spacing w:line="276" w:lineRule="auto"/>
              <w:ind w:left="112"/>
              <w:rPr>
                <w:rFonts w:eastAsia="Calibri"/>
              </w:rPr>
            </w:pPr>
            <w:r w:rsidRPr="6A1AB05B">
              <w:rPr>
                <w:rFonts w:eastAsia="Calibri"/>
              </w:rPr>
              <w:t>The departure of the incumbent Director of Finance &amp; Resources has led to additional workload pressures on the team during the two-month period prior to the new Director’s arrival. This has been managed very well but will continue whilst the new Director embeds and focuses on prioritised issues.</w:t>
            </w:r>
          </w:p>
        </w:tc>
      </w:tr>
    </w:tbl>
    <w:p w14:paraId="714386A0" w14:textId="65378229" w:rsidR="00291AAD" w:rsidRDefault="00291AAD" w:rsidP="00291AAD">
      <w:pPr>
        <w:pStyle w:val="Heading2"/>
      </w:pPr>
    </w:p>
    <w:p w14:paraId="1D8940D4" w14:textId="77777777" w:rsidR="00291AAD" w:rsidRDefault="00291AAD">
      <w:pPr>
        <w:spacing w:after="200" w:line="276" w:lineRule="auto"/>
        <w:rPr>
          <w:rFonts w:eastAsiaTheme="majorEastAsia" w:cstheme="majorBidi"/>
          <w:b/>
          <w:bCs/>
          <w:szCs w:val="26"/>
        </w:rPr>
      </w:pPr>
      <w:r>
        <w:br w:type="page"/>
      </w:r>
    </w:p>
    <w:p w14:paraId="7F972A1C" w14:textId="77777777" w:rsidR="00291AAD" w:rsidRDefault="00291AAD" w:rsidP="00291AAD">
      <w:pPr>
        <w:pStyle w:val="Heading2"/>
      </w:pPr>
    </w:p>
    <w:p w14:paraId="46909A2A" w14:textId="77777777" w:rsidR="00291AAD" w:rsidRPr="002F2A86" w:rsidRDefault="00291AAD" w:rsidP="00291AAD">
      <w:pPr>
        <w:pStyle w:val="Heading2"/>
      </w:pPr>
      <w:bookmarkStart w:id="1" w:name="_Hlk103877979"/>
      <w:r>
        <w:t>R6</w:t>
      </w:r>
      <w:r w:rsidRPr="002F2A86">
        <w:t xml:space="preserve">: </w:t>
      </w:r>
      <w:r>
        <w:t xml:space="preserve">Failure to take advantage of opportunities that allow the HTA to be an efficient regulator responsive to change and aware of the impact that it has on the sectors and activities that it regulates to ensure public trust and confidence is maintained. </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291AAD" w:rsidRPr="002F2A86" w14:paraId="54F3C2B3" w14:textId="77777777" w:rsidTr="00F2738E">
        <w:tc>
          <w:tcPr>
            <w:tcW w:w="5174" w:type="dxa"/>
            <w:gridSpan w:val="3"/>
            <w:shd w:val="clear" w:color="auto" w:fill="auto"/>
            <w:hideMark/>
          </w:tcPr>
          <w:p w14:paraId="347728C8" w14:textId="77777777" w:rsidR="00291AAD" w:rsidRPr="00D17FED" w:rsidRDefault="00291AAD" w:rsidP="00F2738E">
            <w:pPr>
              <w:spacing w:before="120" w:after="120"/>
              <w:ind w:left="41"/>
              <w:rPr>
                <w:rFonts w:eastAsia="Calibri"/>
                <w:b/>
              </w:rPr>
            </w:pPr>
            <w:r w:rsidRPr="00D17FED">
              <w:rPr>
                <w:rFonts w:eastAsia="Calibri"/>
                <w:b/>
              </w:rPr>
              <w:t>Inherent risk level:</w:t>
            </w:r>
          </w:p>
        </w:tc>
        <w:tc>
          <w:tcPr>
            <w:tcW w:w="5174" w:type="dxa"/>
            <w:gridSpan w:val="3"/>
            <w:shd w:val="clear" w:color="auto" w:fill="auto"/>
          </w:tcPr>
          <w:p w14:paraId="5A644D3B" w14:textId="77777777" w:rsidR="00291AAD" w:rsidRPr="00D17FED" w:rsidRDefault="00291AAD" w:rsidP="00F2738E">
            <w:pPr>
              <w:spacing w:before="120" w:after="120"/>
              <w:ind w:left="41"/>
              <w:rPr>
                <w:rFonts w:eastAsia="Calibri"/>
                <w:b/>
              </w:rPr>
            </w:pPr>
            <w:r w:rsidRPr="00D17FED">
              <w:rPr>
                <w:rFonts w:eastAsia="Calibri"/>
                <w:b/>
              </w:rPr>
              <w:t>Residual risk level:</w:t>
            </w:r>
          </w:p>
        </w:tc>
      </w:tr>
      <w:tr w:rsidR="00291AAD" w:rsidRPr="002F2A86" w14:paraId="726EF414" w14:textId="77777777" w:rsidTr="00F2738E">
        <w:tc>
          <w:tcPr>
            <w:tcW w:w="1724" w:type="dxa"/>
            <w:shd w:val="clear" w:color="auto" w:fill="E5F0FF"/>
            <w:hideMark/>
          </w:tcPr>
          <w:p w14:paraId="268126F1" w14:textId="77777777" w:rsidR="00291AAD" w:rsidRPr="00D17FED" w:rsidRDefault="00291AAD" w:rsidP="00F2738E">
            <w:pPr>
              <w:spacing w:before="120" w:after="120"/>
              <w:ind w:left="40"/>
              <w:rPr>
                <w:rFonts w:eastAsia="Calibri"/>
              </w:rPr>
            </w:pPr>
            <w:r w:rsidRPr="00D17FED">
              <w:rPr>
                <w:rFonts w:eastAsia="Calibri"/>
              </w:rPr>
              <w:t xml:space="preserve">Likelihood </w:t>
            </w:r>
          </w:p>
        </w:tc>
        <w:tc>
          <w:tcPr>
            <w:tcW w:w="1725" w:type="dxa"/>
            <w:shd w:val="clear" w:color="auto" w:fill="E5F0FF"/>
            <w:hideMark/>
          </w:tcPr>
          <w:p w14:paraId="43BFC431" w14:textId="77777777" w:rsidR="00291AAD" w:rsidRPr="00D17FED" w:rsidRDefault="00291AAD" w:rsidP="00F2738E">
            <w:pPr>
              <w:spacing w:before="120" w:after="120"/>
              <w:ind w:left="40"/>
              <w:rPr>
                <w:rFonts w:eastAsia="Calibri"/>
              </w:rPr>
            </w:pPr>
            <w:r w:rsidRPr="00D17FED">
              <w:rPr>
                <w:rFonts w:eastAsia="Calibri"/>
              </w:rPr>
              <w:t xml:space="preserve">Impact </w:t>
            </w:r>
          </w:p>
        </w:tc>
        <w:tc>
          <w:tcPr>
            <w:tcW w:w="1725" w:type="dxa"/>
            <w:shd w:val="clear" w:color="auto" w:fill="E5F0FF"/>
            <w:hideMark/>
          </w:tcPr>
          <w:p w14:paraId="2ED66112" w14:textId="77777777" w:rsidR="00291AAD" w:rsidRPr="00D17FED" w:rsidRDefault="00291AAD" w:rsidP="00F2738E">
            <w:pPr>
              <w:spacing w:before="120" w:after="120"/>
              <w:ind w:left="40"/>
              <w:rPr>
                <w:rFonts w:eastAsia="Calibri"/>
              </w:rPr>
            </w:pPr>
            <w:r w:rsidRPr="00D17FED">
              <w:rPr>
                <w:rFonts w:eastAsia="Calibri"/>
              </w:rPr>
              <w:t>Inherent risk</w:t>
            </w:r>
          </w:p>
        </w:tc>
        <w:tc>
          <w:tcPr>
            <w:tcW w:w="1724" w:type="dxa"/>
            <w:shd w:val="clear" w:color="auto" w:fill="E5F0FF"/>
          </w:tcPr>
          <w:p w14:paraId="7156BE23" w14:textId="77777777" w:rsidR="00291AAD" w:rsidRPr="00D17FED" w:rsidRDefault="00291AAD" w:rsidP="00F2738E">
            <w:pPr>
              <w:spacing w:before="120" w:after="120"/>
              <w:ind w:left="40"/>
              <w:rPr>
                <w:rFonts w:eastAsia="Calibri"/>
              </w:rPr>
            </w:pPr>
            <w:r w:rsidRPr="00D17FED">
              <w:rPr>
                <w:rFonts w:eastAsia="Calibri"/>
                <w:b/>
              </w:rPr>
              <w:t>Likelihood</w:t>
            </w:r>
          </w:p>
        </w:tc>
        <w:tc>
          <w:tcPr>
            <w:tcW w:w="1725" w:type="dxa"/>
            <w:shd w:val="clear" w:color="auto" w:fill="E5F0FF"/>
          </w:tcPr>
          <w:p w14:paraId="27C93350" w14:textId="77777777" w:rsidR="00291AAD" w:rsidRPr="00D17FED" w:rsidRDefault="00291AAD" w:rsidP="00F2738E">
            <w:pPr>
              <w:spacing w:before="120" w:after="120"/>
              <w:ind w:left="40"/>
              <w:rPr>
                <w:rFonts w:eastAsia="Calibri"/>
                <w:b/>
              </w:rPr>
            </w:pPr>
            <w:r w:rsidRPr="00D17FED">
              <w:rPr>
                <w:rFonts w:eastAsia="Calibri"/>
                <w:b/>
              </w:rPr>
              <w:t>Impact</w:t>
            </w:r>
          </w:p>
        </w:tc>
        <w:tc>
          <w:tcPr>
            <w:tcW w:w="1725" w:type="dxa"/>
            <w:shd w:val="clear" w:color="auto" w:fill="E5F0FF"/>
          </w:tcPr>
          <w:p w14:paraId="6CC23B6F" w14:textId="77777777" w:rsidR="00291AAD" w:rsidRPr="00D17FED" w:rsidRDefault="00291AAD" w:rsidP="00F2738E">
            <w:pPr>
              <w:spacing w:before="120" w:after="120"/>
              <w:ind w:left="40"/>
              <w:rPr>
                <w:rFonts w:eastAsia="Calibri"/>
                <w:b/>
              </w:rPr>
            </w:pPr>
            <w:r w:rsidRPr="00D17FED">
              <w:rPr>
                <w:rFonts w:eastAsia="Calibri"/>
                <w:b/>
              </w:rPr>
              <w:t>Residual risk</w:t>
            </w:r>
          </w:p>
        </w:tc>
      </w:tr>
      <w:tr w:rsidR="00291AAD" w:rsidRPr="002F2A86" w14:paraId="697492FD" w14:textId="77777777" w:rsidTr="00F2738E">
        <w:tc>
          <w:tcPr>
            <w:tcW w:w="1724" w:type="dxa"/>
          </w:tcPr>
          <w:p w14:paraId="25968CB1" w14:textId="77777777" w:rsidR="00291AAD" w:rsidRPr="00D17FED" w:rsidRDefault="00291AAD" w:rsidP="00F2738E">
            <w:pPr>
              <w:spacing w:before="120" w:after="120"/>
              <w:ind w:left="40"/>
              <w:rPr>
                <w:rFonts w:eastAsia="Calibri"/>
              </w:rPr>
            </w:pPr>
            <w:r>
              <w:rPr>
                <w:rFonts w:eastAsia="Calibri"/>
              </w:rPr>
              <w:t>4</w:t>
            </w:r>
          </w:p>
        </w:tc>
        <w:tc>
          <w:tcPr>
            <w:tcW w:w="1725" w:type="dxa"/>
          </w:tcPr>
          <w:p w14:paraId="1BA02BA8" w14:textId="77777777" w:rsidR="00291AAD" w:rsidRPr="00D17FED" w:rsidRDefault="00291AAD" w:rsidP="00F2738E">
            <w:pPr>
              <w:spacing w:before="120" w:after="120"/>
              <w:ind w:left="40"/>
              <w:rPr>
                <w:rFonts w:eastAsia="Calibri"/>
              </w:rPr>
            </w:pPr>
            <w:r>
              <w:rPr>
                <w:rFonts w:eastAsia="Calibri"/>
              </w:rPr>
              <w:t>3</w:t>
            </w:r>
          </w:p>
        </w:tc>
        <w:tc>
          <w:tcPr>
            <w:tcW w:w="1725" w:type="dxa"/>
            <w:shd w:val="clear" w:color="auto" w:fill="FFC000"/>
          </w:tcPr>
          <w:p w14:paraId="6AB79F33" w14:textId="77777777" w:rsidR="00291AAD" w:rsidRPr="003A21CF" w:rsidRDefault="00291AAD" w:rsidP="00F2738E">
            <w:pPr>
              <w:spacing w:before="120" w:after="120"/>
              <w:ind w:left="40"/>
              <w:rPr>
                <w:rFonts w:eastAsia="Calibri"/>
              </w:rPr>
            </w:pPr>
            <w:r w:rsidRPr="003A21CF">
              <w:rPr>
                <w:rFonts w:eastAsia="Calibri"/>
              </w:rPr>
              <w:t>12 - High</w:t>
            </w:r>
          </w:p>
        </w:tc>
        <w:tc>
          <w:tcPr>
            <w:tcW w:w="1724" w:type="dxa"/>
            <w:shd w:val="clear" w:color="auto" w:fill="auto"/>
          </w:tcPr>
          <w:p w14:paraId="21635932" w14:textId="77777777" w:rsidR="00291AAD" w:rsidRPr="00D17FED" w:rsidRDefault="00291AAD" w:rsidP="00F2738E">
            <w:pPr>
              <w:spacing w:before="120" w:after="120"/>
              <w:ind w:left="40"/>
              <w:rPr>
                <w:rFonts w:eastAsia="Calibri"/>
                <w:b/>
              </w:rPr>
            </w:pPr>
            <w:r w:rsidRPr="00D17FED">
              <w:rPr>
                <w:rFonts w:eastAsia="Calibri"/>
                <w:b/>
              </w:rPr>
              <w:t>3</w:t>
            </w:r>
          </w:p>
        </w:tc>
        <w:tc>
          <w:tcPr>
            <w:tcW w:w="1725" w:type="dxa"/>
            <w:shd w:val="clear" w:color="auto" w:fill="auto"/>
          </w:tcPr>
          <w:p w14:paraId="7B619BB1" w14:textId="77777777" w:rsidR="00291AAD" w:rsidRPr="00D17FED" w:rsidRDefault="00291AAD" w:rsidP="00F2738E">
            <w:pPr>
              <w:spacing w:before="120" w:after="120"/>
              <w:ind w:left="40"/>
              <w:rPr>
                <w:rFonts w:eastAsia="Calibri"/>
                <w:b/>
              </w:rPr>
            </w:pPr>
            <w:r>
              <w:rPr>
                <w:rFonts w:eastAsia="Calibri"/>
                <w:b/>
                <w:bCs/>
              </w:rPr>
              <w:t>3</w:t>
            </w:r>
          </w:p>
        </w:tc>
        <w:tc>
          <w:tcPr>
            <w:tcW w:w="1725" w:type="dxa"/>
            <w:shd w:val="clear" w:color="auto" w:fill="FFFF00"/>
          </w:tcPr>
          <w:p w14:paraId="6A9ECEE8" w14:textId="77777777" w:rsidR="00291AAD" w:rsidRPr="00D17FED" w:rsidRDefault="00291AAD" w:rsidP="00F2738E">
            <w:pPr>
              <w:spacing w:before="120" w:after="120"/>
              <w:ind w:left="40"/>
              <w:rPr>
                <w:rFonts w:eastAsia="Calibri"/>
                <w:b/>
                <w:bCs/>
              </w:rPr>
            </w:pPr>
            <w:r w:rsidRPr="6A1AB05B">
              <w:rPr>
                <w:rFonts w:eastAsia="Calibri"/>
                <w:b/>
                <w:bCs/>
              </w:rPr>
              <w:t>9 – Medium</w:t>
            </w:r>
          </w:p>
        </w:tc>
      </w:tr>
      <w:tr w:rsidR="00291AAD" w:rsidRPr="002F2A86" w14:paraId="5889CBBF" w14:textId="77777777" w:rsidTr="00F2738E">
        <w:tc>
          <w:tcPr>
            <w:tcW w:w="8623" w:type="dxa"/>
            <w:gridSpan w:val="5"/>
            <w:shd w:val="clear" w:color="auto" w:fill="auto"/>
            <w:hideMark/>
          </w:tcPr>
          <w:p w14:paraId="3837E5A7" w14:textId="77777777" w:rsidR="00291AAD" w:rsidRPr="00D17FED" w:rsidRDefault="00291AAD" w:rsidP="00F2738E">
            <w:pPr>
              <w:spacing w:before="120" w:after="120"/>
              <w:ind w:left="40"/>
              <w:rPr>
                <w:rFonts w:eastAsia="Calibri"/>
                <w:b/>
              </w:rPr>
            </w:pPr>
            <w:r w:rsidRPr="00D17FED">
              <w:rPr>
                <w:rFonts w:eastAsia="Calibri"/>
                <w:b/>
              </w:rPr>
              <w:t xml:space="preserve">Tolerance threshold: </w:t>
            </w:r>
          </w:p>
        </w:tc>
        <w:tc>
          <w:tcPr>
            <w:tcW w:w="1725" w:type="dxa"/>
            <w:shd w:val="clear" w:color="auto" w:fill="FFFF00"/>
          </w:tcPr>
          <w:p w14:paraId="5372072B" w14:textId="77777777" w:rsidR="00291AAD" w:rsidRPr="00D17FED" w:rsidRDefault="00291AAD" w:rsidP="00F2738E">
            <w:pPr>
              <w:spacing w:before="120" w:after="120"/>
              <w:ind w:left="40"/>
              <w:rPr>
                <w:rFonts w:eastAsia="Calibri"/>
                <w:b/>
              </w:rPr>
            </w:pPr>
            <w:r>
              <w:rPr>
                <w:rFonts w:eastAsia="Calibri"/>
                <w:b/>
              </w:rPr>
              <w:t>9</w:t>
            </w:r>
            <w:r w:rsidRPr="00D17FED">
              <w:rPr>
                <w:rFonts w:eastAsia="Calibri"/>
                <w:b/>
              </w:rPr>
              <w:t xml:space="preserve"> </w:t>
            </w:r>
            <w:r>
              <w:rPr>
                <w:rFonts w:eastAsia="Calibri"/>
                <w:b/>
              </w:rPr>
              <w:t>–</w:t>
            </w:r>
            <w:r w:rsidRPr="00D17FED">
              <w:rPr>
                <w:rFonts w:eastAsia="Calibri"/>
                <w:b/>
              </w:rPr>
              <w:t xml:space="preserve"> Medium</w:t>
            </w:r>
          </w:p>
        </w:tc>
      </w:tr>
    </w:tbl>
    <w:p w14:paraId="395A3109" w14:textId="77777777" w:rsidR="00291AAD" w:rsidRDefault="00291AAD" w:rsidP="00291AAD">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8E90"/>
        </w:tblBorders>
        <w:tblLayout w:type="fixed"/>
        <w:tblCellMar>
          <w:left w:w="28" w:type="dxa"/>
          <w:right w:w="28" w:type="dxa"/>
        </w:tblCellMar>
        <w:tblLook w:val="04A0" w:firstRow="1" w:lastRow="0" w:firstColumn="1" w:lastColumn="0" w:noHBand="0" w:noVBand="1"/>
      </w:tblPr>
      <w:tblGrid>
        <w:gridCol w:w="10348"/>
      </w:tblGrid>
      <w:tr w:rsidR="00291AAD" w:rsidRPr="002F2A86" w14:paraId="340BCEE9" w14:textId="77777777" w:rsidTr="00F2738E">
        <w:trPr>
          <w:trHeight w:val="510"/>
        </w:trPr>
        <w:tc>
          <w:tcPr>
            <w:tcW w:w="10348" w:type="dxa"/>
          </w:tcPr>
          <w:p w14:paraId="5417E728" w14:textId="77777777" w:rsidR="00291AAD" w:rsidRPr="00D17FED" w:rsidRDefault="00291AAD" w:rsidP="00F2738E">
            <w:pPr>
              <w:spacing w:before="120" w:after="120" w:line="276" w:lineRule="auto"/>
              <w:ind w:left="112"/>
              <w:rPr>
                <w:rFonts w:eastAsia="Calibri"/>
                <w:b/>
              </w:rPr>
            </w:pPr>
            <w:r w:rsidRPr="00D17FED">
              <w:rPr>
                <w:rFonts w:eastAsia="Calibri"/>
                <w:b/>
              </w:rPr>
              <w:t>Commentary</w:t>
            </w:r>
          </w:p>
        </w:tc>
      </w:tr>
      <w:tr w:rsidR="00291AAD" w:rsidRPr="002F2A86" w14:paraId="69A30478" w14:textId="77777777" w:rsidTr="00F2738E">
        <w:trPr>
          <w:trHeight w:val="2128"/>
        </w:trPr>
        <w:tc>
          <w:tcPr>
            <w:tcW w:w="10348" w:type="dxa"/>
          </w:tcPr>
          <w:p w14:paraId="440D9144" w14:textId="77777777" w:rsidR="00291AAD" w:rsidRPr="00D17FED" w:rsidRDefault="00291AAD" w:rsidP="00F2738E">
            <w:pPr>
              <w:spacing w:before="120" w:after="120" w:line="276" w:lineRule="auto"/>
              <w:ind w:left="111" w:right="114"/>
              <w:rPr>
                <w:rFonts w:eastAsia="Calibri"/>
                <w:b/>
              </w:rPr>
            </w:pPr>
            <w:r w:rsidRPr="00D17FED">
              <w:rPr>
                <w:rFonts w:eastAsia="Calibri"/>
                <w:b/>
              </w:rPr>
              <w:t>A</w:t>
            </w:r>
            <w:r>
              <w:rPr>
                <w:rFonts w:eastAsia="Calibri"/>
                <w:b/>
              </w:rPr>
              <w:t>t</w:t>
            </w:r>
            <w:r w:rsidRPr="00D17FED">
              <w:rPr>
                <w:rFonts w:eastAsia="Calibri"/>
                <w:b/>
              </w:rPr>
              <w:t xml:space="preserve"> tolerance.</w:t>
            </w:r>
          </w:p>
          <w:p w14:paraId="578AC8A0" w14:textId="77777777" w:rsidR="00291AAD" w:rsidRDefault="00291AAD" w:rsidP="00F2738E">
            <w:pPr>
              <w:spacing w:line="276" w:lineRule="auto"/>
              <w:ind w:left="112"/>
              <w:rPr>
                <w:rFonts w:eastAsia="Calibri"/>
              </w:rPr>
            </w:pPr>
            <w:r w:rsidRPr="6A1AB05B">
              <w:rPr>
                <w:rFonts w:eastAsia="Calibri"/>
              </w:rPr>
              <w:t xml:space="preserve">This risk has been updated and redefined for 2023/24 to reflect a central priority supporting efficiency and reform.  </w:t>
            </w:r>
          </w:p>
          <w:p w14:paraId="023F83B0" w14:textId="77777777" w:rsidR="00291AAD" w:rsidRDefault="00291AAD" w:rsidP="00F2738E">
            <w:pPr>
              <w:spacing w:line="276" w:lineRule="auto"/>
              <w:ind w:left="112"/>
              <w:rPr>
                <w:rFonts w:eastAsia="Calibri"/>
              </w:rPr>
            </w:pPr>
            <w:r w:rsidRPr="6A1AB05B">
              <w:rPr>
                <w:rFonts w:eastAsia="Calibri"/>
              </w:rPr>
              <w:t>As with risk 3 the HTA has progressed and delivered several projects in the post pandemic period reflecting changes in the way that it works and to ensure it remains responsive to opportunities for working differently. The 2023/24 Business Plan includes a number of projects that will follow this direction of travel. Activities under risk 3 and this risk 6 coalesce to support the HTA’s vision and mission.</w:t>
            </w:r>
          </w:p>
          <w:p w14:paraId="59AB9715" w14:textId="77777777" w:rsidR="00291AAD" w:rsidRDefault="00291AAD" w:rsidP="00F2738E">
            <w:pPr>
              <w:spacing w:line="276" w:lineRule="auto"/>
              <w:ind w:left="112"/>
              <w:rPr>
                <w:rFonts w:eastAsia="Calibri"/>
              </w:rPr>
            </w:pPr>
            <w:r w:rsidRPr="6A1AB05B">
              <w:rPr>
                <w:rFonts w:eastAsia="Calibri"/>
              </w:rPr>
              <w:t xml:space="preserve">It is anticipated that updates on the risk will reflect the progress of identified projects and align with updates and actions identified across other risks specifically risks 3, 4, 5 &amp; 7. This alignment is critical. As in previous years, the availability of resources (people and financial) have been significant factors in setting the pace and appetite for change.  </w:t>
            </w:r>
          </w:p>
          <w:p w14:paraId="26CFD78D" w14:textId="77777777" w:rsidR="00291AAD" w:rsidRDefault="00291AAD" w:rsidP="00F2738E">
            <w:pPr>
              <w:spacing w:line="276" w:lineRule="auto"/>
              <w:ind w:left="112"/>
              <w:rPr>
                <w:rFonts w:eastAsia="Calibri"/>
              </w:rPr>
            </w:pPr>
            <w:r w:rsidRPr="6A1AB05B">
              <w:rPr>
                <w:rFonts w:eastAsia="Calibri"/>
              </w:rPr>
              <w:t>A further consideration and alignment opportunity for the HTA will be with the myriad of central initiatives and programmes that take advantage of economies of scale and consolidation of improvement opportunities and skills.</w:t>
            </w:r>
          </w:p>
          <w:p w14:paraId="0E8CFB51" w14:textId="77777777" w:rsidR="00291AAD" w:rsidRDefault="00291AAD" w:rsidP="00F2738E">
            <w:pPr>
              <w:spacing w:line="276" w:lineRule="auto"/>
              <w:ind w:left="112"/>
              <w:rPr>
                <w:rFonts w:eastAsia="Calibri"/>
              </w:rPr>
            </w:pPr>
            <w:r w:rsidRPr="6A1AB05B">
              <w:rPr>
                <w:rFonts w:eastAsia="Calibri"/>
              </w:rPr>
              <w:t>Since the start of 2023/24 there have been a range of different activities including independent reviews such as the McLean Review and the Review of Pregnancy Loss that have led us to consider and work with partners on opportunities for change and improvement in regulation.</w:t>
            </w:r>
          </w:p>
          <w:p w14:paraId="519203A7" w14:textId="77777777" w:rsidR="00291AAD" w:rsidRPr="00D17FED" w:rsidRDefault="00291AAD" w:rsidP="00F2738E">
            <w:pPr>
              <w:spacing w:line="276" w:lineRule="auto"/>
              <w:ind w:left="112"/>
              <w:rPr>
                <w:rFonts w:eastAsia="Calibri"/>
              </w:rPr>
            </w:pPr>
          </w:p>
        </w:tc>
      </w:tr>
      <w:bookmarkEnd w:id="1"/>
    </w:tbl>
    <w:p w14:paraId="2DEF5187" w14:textId="77777777" w:rsidR="00291AAD" w:rsidRDefault="00291AAD" w:rsidP="00291AAD">
      <w:pPr>
        <w:rPr>
          <w:rFonts w:eastAsia="Calibri"/>
          <w:b/>
        </w:rPr>
      </w:pPr>
    </w:p>
    <w:p w14:paraId="51176B07" w14:textId="77777777" w:rsidR="00291AAD" w:rsidRDefault="00291AAD" w:rsidP="00291AAD">
      <w:pPr>
        <w:rPr>
          <w:rFonts w:eastAsia="Calibri"/>
          <w:b/>
        </w:rPr>
      </w:pPr>
    </w:p>
    <w:p w14:paraId="0A71D439" w14:textId="77777777" w:rsidR="00291AAD" w:rsidRDefault="00291AAD" w:rsidP="00291AAD">
      <w:pPr>
        <w:rPr>
          <w:rFonts w:eastAsia="Calibri"/>
          <w:b/>
        </w:rPr>
      </w:pPr>
    </w:p>
    <w:p w14:paraId="4BE738AB" w14:textId="77777777" w:rsidR="00291AAD" w:rsidRDefault="00291AAD" w:rsidP="00291AAD">
      <w:pPr>
        <w:pStyle w:val="Heading2"/>
      </w:pPr>
    </w:p>
    <w:p w14:paraId="7513F164" w14:textId="77777777" w:rsidR="00291AAD" w:rsidRDefault="00291AAD">
      <w:pPr>
        <w:spacing w:after="200" w:line="276" w:lineRule="auto"/>
        <w:rPr>
          <w:rFonts w:eastAsiaTheme="majorEastAsia" w:cstheme="majorBidi"/>
          <w:b/>
          <w:bCs/>
          <w:szCs w:val="26"/>
        </w:rPr>
      </w:pPr>
      <w:r>
        <w:br w:type="page"/>
      </w:r>
    </w:p>
    <w:p w14:paraId="0075C72D" w14:textId="5EF8424A" w:rsidR="00291AAD" w:rsidRPr="002F2A86" w:rsidRDefault="00291AAD" w:rsidP="00291AAD">
      <w:pPr>
        <w:pStyle w:val="Heading2"/>
      </w:pPr>
      <w:r>
        <w:t>R7</w:t>
      </w:r>
      <w:r w:rsidRPr="002F2A86">
        <w:t xml:space="preserve">: </w:t>
      </w:r>
      <w:r>
        <w:t>Failure to optimise the safe use of existing and emerging digital data and technology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291AAD" w:rsidRPr="002F2A86" w14:paraId="1F5773AC" w14:textId="77777777" w:rsidTr="00F2738E">
        <w:tc>
          <w:tcPr>
            <w:tcW w:w="5174" w:type="dxa"/>
            <w:gridSpan w:val="3"/>
            <w:shd w:val="clear" w:color="auto" w:fill="auto"/>
            <w:hideMark/>
          </w:tcPr>
          <w:p w14:paraId="4166AEAA" w14:textId="77777777" w:rsidR="00291AAD" w:rsidRPr="00D17FED" w:rsidRDefault="00291AAD" w:rsidP="00F2738E">
            <w:pPr>
              <w:spacing w:before="120" w:after="120"/>
              <w:ind w:left="41"/>
              <w:rPr>
                <w:rFonts w:eastAsia="Calibri"/>
                <w:b/>
              </w:rPr>
            </w:pPr>
            <w:r w:rsidRPr="00D17FED">
              <w:rPr>
                <w:rFonts w:eastAsia="Calibri"/>
                <w:b/>
              </w:rPr>
              <w:t>Inherent risk level:</w:t>
            </w:r>
          </w:p>
        </w:tc>
        <w:tc>
          <w:tcPr>
            <w:tcW w:w="5174" w:type="dxa"/>
            <w:gridSpan w:val="3"/>
            <w:shd w:val="clear" w:color="auto" w:fill="auto"/>
          </w:tcPr>
          <w:p w14:paraId="1B4774C5" w14:textId="77777777" w:rsidR="00291AAD" w:rsidRPr="00D17FED" w:rsidRDefault="00291AAD" w:rsidP="00F2738E">
            <w:pPr>
              <w:spacing w:before="120" w:after="120"/>
              <w:ind w:left="41"/>
              <w:rPr>
                <w:rFonts w:eastAsia="Calibri"/>
                <w:b/>
              </w:rPr>
            </w:pPr>
            <w:r w:rsidRPr="00D17FED">
              <w:rPr>
                <w:rFonts w:eastAsia="Calibri"/>
                <w:b/>
              </w:rPr>
              <w:t>Residual risk level:</w:t>
            </w:r>
          </w:p>
        </w:tc>
      </w:tr>
      <w:tr w:rsidR="00291AAD" w:rsidRPr="002F2A86" w14:paraId="3D700A74" w14:textId="77777777" w:rsidTr="00F2738E">
        <w:tc>
          <w:tcPr>
            <w:tcW w:w="1724" w:type="dxa"/>
            <w:shd w:val="clear" w:color="auto" w:fill="E5F0FF"/>
            <w:hideMark/>
          </w:tcPr>
          <w:p w14:paraId="78FD599C" w14:textId="77777777" w:rsidR="00291AAD" w:rsidRPr="00D17FED" w:rsidRDefault="00291AAD" w:rsidP="00F2738E">
            <w:pPr>
              <w:spacing w:before="120" w:after="120"/>
              <w:ind w:left="40"/>
              <w:rPr>
                <w:rFonts w:eastAsia="Calibri"/>
              </w:rPr>
            </w:pPr>
            <w:r w:rsidRPr="00D17FED">
              <w:rPr>
                <w:rFonts w:eastAsia="Calibri"/>
              </w:rPr>
              <w:t xml:space="preserve">Likelihood </w:t>
            </w:r>
          </w:p>
        </w:tc>
        <w:tc>
          <w:tcPr>
            <w:tcW w:w="1725" w:type="dxa"/>
            <w:shd w:val="clear" w:color="auto" w:fill="E5F0FF"/>
            <w:hideMark/>
          </w:tcPr>
          <w:p w14:paraId="2A63A47E" w14:textId="77777777" w:rsidR="00291AAD" w:rsidRPr="00D17FED" w:rsidRDefault="00291AAD" w:rsidP="00F2738E">
            <w:pPr>
              <w:spacing w:before="120" w:after="120"/>
              <w:ind w:left="40"/>
              <w:rPr>
                <w:rFonts w:eastAsia="Calibri"/>
              </w:rPr>
            </w:pPr>
            <w:r w:rsidRPr="00D17FED">
              <w:rPr>
                <w:rFonts w:eastAsia="Calibri"/>
              </w:rPr>
              <w:t xml:space="preserve">Impact </w:t>
            </w:r>
          </w:p>
        </w:tc>
        <w:tc>
          <w:tcPr>
            <w:tcW w:w="1725" w:type="dxa"/>
            <w:shd w:val="clear" w:color="auto" w:fill="E5F0FF"/>
            <w:hideMark/>
          </w:tcPr>
          <w:p w14:paraId="4BAA4220" w14:textId="77777777" w:rsidR="00291AAD" w:rsidRPr="00D17FED" w:rsidRDefault="00291AAD" w:rsidP="00F2738E">
            <w:pPr>
              <w:spacing w:before="120" w:after="120"/>
              <w:ind w:left="40"/>
              <w:rPr>
                <w:rFonts w:eastAsia="Calibri"/>
              </w:rPr>
            </w:pPr>
            <w:r w:rsidRPr="00D17FED">
              <w:rPr>
                <w:rFonts w:eastAsia="Calibri"/>
              </w:rPr>
              <w:t>Inherent risk</w:t>
            </w:r>
          </w:p>
        </w:tc>
        <w:tc>
          <w:tcPr>
            <w:tcW w:w="1724" w:type="dxa"/>
            <w:shd w:val="clear" w:color="auto" w:fill="E5F0FF"/>
          </w:tcPr>
          <w:p w14:paraId="5DB7A2FC" w14:textId="77777777" w:rsidR="00291AAD" w:rsidRPr="00D17FED" w:rsidRDefault="00291AAD" w:rsidP="00F2738E">
            <w:pPr>
              <w:spacing w:before="120" w:after="120"/>
              <w:ind w:left="40"/>
              <w:rPr>
                <w:rFonts w:eastAsia="Calibri"/>
              </w:rPr>
            </w:pPr>
            <w:r w:rsidRPr="00D17FED">
              <w:rPr>
                <w:rFonts w:eastAsia="Calibri"/>
                <w:b/>
              </w:rPr>
              <w:t>Likelihood</w:t>
            </w:r>
          </w:p>
        </w:tc>
        <w:tc>
          <w:tcPr>
            <w:tcW w:w="1725" w:type="dxa"/>
            <w:shd w:val="clear" w:color="auto" w:fill="E5F0FF"/>
          </w:tcPr>
          <w:p w14:paraId="68F483D2" w14:textId="77777777" w:rsidR="00291AAD" w:rsidRPr="00D17FED" w:rsidRDefault="00291AAD" w:rsidP="00F2738E">
            <w:pPr>
              <w:spacing w:before="120" w:after="120"/>
              <w:ind w:left="40"/>
              <w:rPr>
                <w:rFonts w:eastAsia="Calibri"/>
                <w:b/>
              </w:rPr>
            </w:pPr>
            <w:r w:rsidRPr="00D17FED">
              <w:rPr>
                <w:rFonts w:eastAsia="Calibri"/>
                <w:b/>
              </w:rPr>
              <w:t>Impact</w:t>
            </w:r>
          </w:p>
        </w:tc>
        <w:tc>
          <w:tcPr>
            <w:tcW w:w="1725" w:type="dxa"/>
            <w:shd w:val="clear" w:color="auto" w:fill="E5F0FF"/>
          </w:tcPr>
          <w:p w14:paraId="07720D2C" w14:textId="77777777" w:rsidR="00291AAD" w:rsidRPr="00D17FED" w:rsidRDefault="00291AAD" w:rsidP="00F2738E">
            <w:pPr>
              <w:spacing w:before="120" w:after="120"/>
              <w:ind w:left="40"/>
              <w:rPr>
                <w:rFonts w:eastAsia="Calibri"/>
                <w:b/>
              </w:rPr>
            </w:pPr>
            <w:r w:rsidRPr="00D17FED">
              <w:rPr>
                <w:rFonts w:eastAsia="Calibri"/>
                <w:b/>
              </w:rPr>
              <w:t>Residual risk</w:t>
            </w:r>
          </w:p>
        </w:tc>
      </w:tr>
      <w:tr w:rsidR="00291AAD" w:rsidRPr="002F2A86" w14:paraId="0B66FEF0" w14:textId="77777777" w:rsidTr="00F2738E">
        <w:tc>
          <w:tcPr>
            <w:tcW w:w="1724" w:type="dxa"/>
          </w:tcPr>
          <w:p w14:paraId="0E4DEA32" w14:textId="77777777" w:rsidR="00291AAD" w:rsidRPr="00D17FED" w:rsidRDefault="00291AAD" w:rsidP="00F2738E">
            <w:pPr>
              <w:spacing w:before="120" w:after="120"/>
              <w:ind w:left="40"/>
              <w:rPr>
                <w:rFonts w:eastAsia="Calibri"/>
              </w:rPr>
            </w:pPr>
            <w:r>
              <w:rPr>
                <w:rFonts w:eastAsia="Calibri"/>
              </w:rPr>
              <w:t>4</w:t>
            </w:r>
          </w:p>
        </w:tc>
        <w:tc>
          <w:tcPr>
            <w:tcW w:w="1725" w:type="dxa"/>
          </w:tcPr>
          <w:p w14:paraId="5E1E42C6" w14:textId="77777777" w:rsidR="00291AAD" w:rsidRPr="00D17FED" w:rsidRDefault="00291AAD" w:rsidP="00F2738E">
            <w:pPr>
              <w:spacing w:before="120" w:after="120"/>
              <w:ind w:left="40"/>
              <w:rPr>
                <w:rFonts w:eastAsia="Calibri"/>
              </w:rPr>
            </w:pPr>
            <w:r>
              <w:rPr>
                <w:rFonts w:eastAsia="Calibri"/>
              </w:rPr>
              <w:t>4</w:t>
            </w:r>
          </w:p>
        </w:tc>
        <w:tc>
          <w:tcPr>
            <w:tcW w:w="1725" w:type="dxa"/>
            <w:shd w:val="clear" w:color="auto" w:fill="FFC000"/>
          </w:tcPr>
          <w:p w14:paraId="49F49220" w14:textId="77777777" w:rsidR="00291AAD" w:rsidRPr="00D17FED" w:rsidRDefault="00291AAD" w:rsidP="00F2738E">
            <w:pPr>
              <w:spacing w:before="120" w:after="120"/>
              <w:ind w:left="40"/>
              <w:rPr>
                <w:rFonts w:eastAsia="Calibri"/>
              </w:rPr>
            </w:pPr>
            <w:r>
              <w:rPr>
                <w:rFonts w:eastAsia="Calibri"/>
              </w:rPr>
              <w:t>16</w:t>
            </w:r>
            <w:r w:rsidRPr="00F010FB">
              <w:rPr>
                <w:rFonts w:eastAsia="Calibri"/>
              </w:rPr>
              <w:t xml:space="preserve"> – </w:t>
            </w:r>
            <w:r>
              <w:rPr>
                <w:rFonts w:eastAsia="Calibri"/>
              </w:rPr>
              <w:t>High</w:t>
            </w:r>
            <w:r w:rsidRPr="00F010FB">
              <w:rPr>
                <w:rFonts w:eastAsia="Calibri"/>
              </w:rPr>
              <w:t xml:space="preserve"> </w:t>
            </w:r>
          </w:p>
        </w:tc>
        <w:tc>
          <w:tcPr>
            <w:tcW w:w="1724" w:type="dxa"/>
            <w:shd w:val="clear" w:color="auto" w:fill="auto"/>
          </w:tcPr>
          <w:p w14:paraId="4696BA8E" w14:textId="77777777" w:rsidR="00291AAD" w:rsidRPr="00D17FED" w:rsidRDefault="00291AAD" w:rsidP="00F2738E">
            <w:pPr>
              <w:spacing w:before="120" w:after="120"/>
              <w:ind w:left="40"/>
              <w:rPr>
                <w:rFonts w:eastAsia="Calibri"/>
                <w:b/>
              </w:rPr>
            </w:pPr>
            <w:r>
              <w:rPr>
                <w:rFonts w:eastAsia="Calibri"/>
                <w:b/>
              </w:rPr>
              <w:t>4</w:t>
            </w:r>
          </w:p>
        </w:tc>
        <w:tc>
          <w:tcPr>
            <w:tcW w:w="1725" w:type="dxa"/>
            <w:shd w:val="clear" w:color="auto" w:fill="auto"/>
          </w:tcPr>
          <w:p w14:paraId="1F7FA6C4" w14:textId="77777777" w:rsidR="00291AAD" w:rsidRPr="00D17FED" w:rsidRDefault="00291AAD" w:rsidP="00F2738E">
            <w:pPr>
              <w:spacing w:before="120" w:after="120"/>
              <w:ind w:left="40"/>
              <w:rPr>
                <w:rFonts w:eastAsia="Calibri"/>
                <w:b/>
              </w:rPr>
            </w:pPr>
            <w:r>
              <w:rPr>
                <w:rFonts w:eastAsia="Calibri"/>
                <w:b/>
              </w:rPr>
              <w:t>3</w:t>
            </w:r>
          </w:p>
        </w:tc>
        <w:tc>
          <w:tcPr>
            <w:tcW w:w="1725" w:type="dxa"/>
            <w:shd w:val="clear" w:color="auto" w:fill="FFC000"/>
          </w:tcPr>
          <w:p w14:paraId="7F2D641F" w14:textId="77777777" w:rsidR="00291AAD" w:rsidRPr="00D17FED" w:rsidRDefault="00291AAD" w:rsidP="00F2738E">
            <w:pPr>
              <w:spacing w:before="120" w:after="120"/>
              <w:ind w:left="40"/>
              <w:rPr>
                <w:rFonts w:eastAsia="Calibri"/>
                <w:b/>
              </w:rPr>
            </w:pPr>
            <w:r>
              <w:rPr>
                <w:rFonts w:eastAsia="Calibri"/>
                <w:b/>
              </w:rPr>
              <w:t>12 – High</w:t>
            </w:r>
          </w:p>
        </w:tc>
      </w:tr>
      <w:tr w:rsidR="00291AAD" w:rsidRPr="002F2A86" w14:paraId="23ECF1BA" w14:textId="77777777" w:rsidTr="00F2738E">
        <w:tc>
          <w:tcPr>
            <w:tcW w:w="8623" w:type="dxa"/>
            <w:gridSpan w:val="5"/>
            <w:shd w:val="clear" w:color="auto" w:fill="auto"/>
            <w:hideMark/>
          </w:tcPr>
          <w:p w14:paraId="094EF277" w14:textId="77777777" w:rsidR="00291AAD" w:rsidRPr="00D17FED" w:rsidRDefault="00291AAD" w:rsidP="00F2738E">
            <w:pPr>
              <w:spacing w:before="120" w:after="120"/>
              <w:ind w:left="40"/>
              <w:rPr>
                <w:rFonts w:eastAsia="Calibri"/>
                <w:b/>
              </w:rPr>
            </w:pPr>
            <w:r w:rsidRPr="00D17FED">
              <w:rPr>
                <w:rFonts w:eastAsia="Calibri"/>
                <w:b/>
              </w:rPr>
              <w:t xml:space="preserve">Tolerance threshold: </w:t>
            </w:r>
          </w:p>
        </w:tc>
        <w:tc>
          <w:tcPr>
            <w:tcW w:w="1725" w:type="dxa"/>
            <w:shd w:val="clear" w:color="auto" w:fill="FFFF00"/>
          </w:tcPr>
          <w:p w14:paraId="34B87854" w14:textId="77777777" w:rsidR="00291AAD" w:rsidRPr="00D17FED" w:rsidRDefault="00291AAD" w:rsidP="00F2738E">
            <w:pPr>
              <w:spacing w:before="120" w:after="120"/>
              <w:ind w:left="40"/>
              <w:rPr>
                <w:rFonts w:eastAsia="Calibri"/>
                <w:b/>
              </w:rPr>
            </w:pPr>
            <w:r>
              <w:rPr>
                <w:rFonts w:eastAsia="Calibri"/>
                <w:b/>
              </w:rPr>
              <w:t>9 – Medium</w:t>
            </w:r>
          </w:p>
        </w:tc>
      </w:tr>
    </w:tbl>
    <w:p w14:paraId="540243C9" w14:textId="77777777" w:rsidR="00291AAD" w:rsidRDefault="00291AAD" w:rsidP="00291AAD">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8E90"/>
        </w:tblBorders>
        <w:tblLayout w:type="fixed"/>
        <w:tblCellMar>
          <w:left w:w="28" w:type="dxa"/>
          <w:right w:w="28" w:type="dxa"/>
        </w:tblCellMar>
        <w:tblLook w:val="04A0" w:firstRow="1" w:lastRow="0" w:firstColumn="1" w:lastColumn="0" w:noHBand="0" w:noVBand="1"/>
      </w:tblPr>
      <w:tblGrid>
        <w:gridCol w:w="10348"/>
      </w:tblGrid>
      <w:tr w:rsidR="00291AAD" w:rsidRPr="002F2A86" w14:paraId="7B4FE024" w14:textId="77777777" w:rsidTr="00F2738E">
        <w:trPr>
          <w:trHeight w:val="510"/>
        </w:trPr>
        <w:tc>
          <w:tcPr>
            <w:tcW w:w="10348" w:type="dxa"/>
          </w:tcPr>
          <w:p w14:paraId="75EF6057" w14:textId="77777777" w:rsidR="00291AAD" w:rsidRPr="00D17FED" w:rsidRDefault="00291AAD" w:rsidP="00F2738E">
            <w:pPr>
              <w:spacing w:before="120" w:after="120" w:line="276" w:lineRule="auto"/>
              <w:ind w:left="112"/>
              <w:rPr>
                <w:rFonts w:eastAsia="Calibri"/>
                <w:b/>
              </w:rPr>
            </w:pPr>
            <w:r w:rsidRPr="00D17FED">
              <w:rPr>
                <w:rFonts w:eastAsia="Calibri"/>
                <w:b/>
              </w:rPr>
              <w:t>Commentary</w:t>
            </w:r>
          </w:p>
        </w:tc>
      </w:tr>
      <w:tr w:rsidR="00291AAD" w:rsidRPr="002F2A86" w14:paraId="367652B2" w14:textId="77777777" w:rsidTr="00F2738E">
        <w:trPr>
          <w:trHeight w:val="2128"/>
        </w:trPr>
        <w:tc>
          <w:tcPr>
            <w:tcW w:w="10348" w:type="dxa"/>
          </w:tcPr>
          <w:p w14:paraId="4256ACB4" w14:textId="77777777" w:rsidR="00291AAD" w:rsidRPr="005241B8" w:rsidRDefault="00291AAD" w:rsidP="00F2738E">
            <w:pPr>
              <w:spacing w:before="120" w:after="120"/>
              <w:ind w:left="111"/>
              <w:rPr>
                <w:rFonts w:eastAsia="Calibri"/>
                <w:b/>
                <w:bCs/>
              </w:rPr>
            </w:pPr>
            <w:r>
              <w:rPr>
                <w:rFonts w:eastAsia="Calibri"/>
                <w:b/>
                <w:bCs/>
              </w:rPr>
              <w:t>Above</w:t>
            </w:r>
            <w:r w:rsidRPr="005241B8">
              <w:rPr>
                <w:rFonts w:eastAsia="Calibri"/>
                <w:b/>
                <w:bCs/>
              </w:rPr>
              <w:t xml:space="preserve"> tolerance. </w:t>
            </w:r>
          </w:p>
          <w:p w14:paraId="122C5753" w14:textId="77777777" w:rsidR="00291AAD" w:rsidRDefault="00291AAD" w:rsidP="00F2738E">
            <w:pPr>
              <w:spacing w:before="120" w:after="120" w:line="276" w:lineRule="auto"/>
              <w:ind w:left="111" w:right="114"/>
              <w:rPr>
                <w:rFonts w:eastAsia="Calibri"/>
                <w:bCs/>
              </w:rPr>
            </w:pPr>
            <w:r w:rsidRPr="00223798">
              <w:rPr>
                <w:rFonts w:eastAsia="Calibri"/>
                <w:bCs/>
              </w:rPr>
              <w:t xml:space="preserve">Over the last 2 years the HTA has been progressing with the planned development of its digital data and technology (systems and architecture) as part of the Development Programme. The planned development had been incremental based on available resources and aimed to future proof business needs.  </w:t>
            </w:r>
          </w:p>
          <w:p w14:paraId="4A1ECE23" w14:textId="77777777" w:rsidR="00291AAD" w:rsidRDefault="00291AAD" w:rsidP="00F2738E">
            <w:pPr>
              <w:spacing w:before="120" w:after="120" w:line="276" w:lineRule="auto"/>
              <w:ind w:left="111" w:right="114"/>
              <w:rPr>
                <w:rFonts w:eastAsia="Calibri"/>
              </w:rPr>
            </w:pPr>
            <w:r w:rsidRPr="6A1AB05B">
              <w:rPr>
                <w:rFonts w:eastAsia="Calibri"/>
              </w:rPr>
              <w:t xml:space="preserve">Two projects were identified in 2022/23. These were (1) the adoption of an IT Shared Services model and (2) stage 2 development of the Regulatory Insight Model and Index. As identified under risk 6 progress has not been possible due to resource constraints.  </w:t>
            </w:r>
          </w:p>
          <w:p w14:paraId="1AD6FD64" w14:textId="77777777" w:rsidR="00291AAD" w:rsidRDefault="00291AAD" w:rsidP="00F2738E">
            <w:pPr>
              <w:spacing w:before="120" w:after="120" w:line="276" w:lineRule="auto"/>
              <w:ind w:left="111" w:right="114"/>
              <w:rPr>
                <w:rFonts w:eastAsia="Calibri"/>
              </w:rPr>
            </w:pPr>
            <w:r w:rsidRPr="6A1AB05B">
              <w:rPr>
                <w:rFonts w:eastAsia="Calibri"/>
              </w:rPr>
              <w:t>The HTA’s IT function has been an area of consistent pressure for several years.  As part of the 2023/24 business plan there has been confirmation of a substantive Head of IT position. The identified resource is positive however given the competitive IT recruitment market, successful recruitment and retention is an ongoing risk.</w:t>
            </w:r>
          </w:p>
          <w:p w14:paraId="44C3B5A7" w14:textId="77777777" w:rsidR="00291AAD" w:rsidRDefault="00291AAD" w:rsidP="00F2738E">
            <w:pPr>
              <w:spacing w:before="120" w:after="120" w:line="276" w:lineRule="auto"/>
              <w:ind w:left="111" w:right="114"/>
              <w:rPr>
                <w:rFonts w:eastAsia="Calibri"/>
              </w:rPr>
            </w:pPr>
            <w:r w:rsidRPr="6A1AB05B">
              <w:rPr>
                <w:rFonts w:eastAsia="Calibri"/>
              </w:rPr>
              <w:t>A revised recruitment plan and approach has been identified and was shared with RemCo.</w:t>
            </w:r>
          </w:p>
          <w:p w14:paraId="231C96B8" w14:textId="77777777" w:rsidR="00291AAD" w:rsidRDefault="00291AAD" w:rsidP="00F2738E">
            <w:pPr>
              <w:spacing w:before="120" w:after="120" w:line="276" w:lineRule="auto"/>
              <w:ind w:left="111" w:right="114"/>
              <w:rPr>
                <w:rFonts w:eastAsia="Calibri"/>
              </w:rPr>
            </w:pPr>
            <w:r w:rsidRPr="6A1AB05B">
              <w:rPr>
                <w:rFonts w:eastAsia="Calibri"/>
              </w:rPr>
              <w:t>As with risk 6, the HTA’s ability to optimise the use of existing and emerging data, digital and technology opportunities is largely reliant on investment and resource. There is a clear vision and confidence in what could be delivered although the reliance on single roles in this area and wider ambitions means that substantive recruited resource is at capacity.</w:t>
            </w:r>
          </w:p>
          <w:p w14:paraId="1ACEDC86" w14:textId="77777777" w:rsidR="00291AAD" w:rsidRDefault="00291AAD" w:rsidP="00F2738E">
            <w:pPr>
              <w:spacing w:before="120" w:after="120" w:line="276" w:lineRule="auto"/>
              <w:ind w:left="111" w:right="114"/>
              <w:rPr>
                <w:rFonts w:eastAsia="Calibri"/>
                <w:bCs/>
              </w:rPr>
            </w:pPr>
            <w:r>
              <w:rPr>
                <w:rFonts w:eastAsia="Calibri"/>
                <w:bCs/>
              </w:rPr>
              <w:t>At the start of 2023/24 this risk is above tolerance.</w:t>
            </w:r>
          </w:p>
          <w:p w14:paraId="0CEEC5B1" w14:textId="77777777" w:rsidR="00291AAD" w:rsidRDefault="00291AAD" w:rsidP="00F2738E">
            <w:pPr>
              <w:spacing w:before="120" w:after="120" w:line="276" w:lineRule="auto"/>
              <w:ind w:left="111" w:right="114"/>
              <w:rPr>
                <w:rFonts w:eastAsia="Calibri"/>
                <w:bCs/>
              </w:rPr>
            </w:pPr>
          </w:p>
          <w:p w14:paraId="3F22D5F1" w14:textId="77777777" w:rsidR="00291AAD" w:rsidRPr="00D17FED" w:rsidRDefault="00291AAD" w:rsidP="00F2738E">
            <w:pPr>
              <w:spacing w:before="120" w:after="120" w:line="276" w:lineRule="auto"/>
              <w:ind w:left="111" w:right="114"/>
              <w:rPr>
                <w:rFonts w:eastAsia="Calibri"/>
              </w:rPr>
            </w:pPr>
          </w:p>
        </w:tc>
      </w:tr>
    </w:tbl>
    <w:p w14:paraId="744F4FD3" w14:textId="77777777" w:rsidR="00291AAD" w:rsidRDefault="00291AAD" w:rsidP="00291AAD">
      <w:pPr>
        <w:rPr>
          <w:rFonts w:eastAsia="Calibri"/>
          <w:b/>
          <w:bCs/>
          <w:color w:val="7030A0"/>
          <w:sz w:val="28"/>
          <w:szCs w:val="32"/>
        </w:rPr>
      </w:pPr>
    </w:p>
    <w:p w14:paraId="21B657B4" w14:textId="77777777" w:rsidR="00291AAD" w:rsidRDefault="00291AAD" w:rsidP="00291AAD">
      <w:pPr>
        <w:rPr>
          <w:rFonts w:eastAsia="Calibri"/>
          <w:b/>
          <w:bCs/>
          <w:color w:val="7030A0"/>
          <w:sz w:val="28"/>
          <w:szCs w:val="32"/>
        </w:rPr>
      </w:pPr>
    </w:p>
    <w:p w14:paraId="6B4F4637" w14:textId="77777777" w:rsidR="00291AAD" w:rsidRDefault="00291AAD" w:rsidP="00291AAD">
      <w:pPr>
        <w:rPr>
          <w:rFonts w:eastAsia="Calibri"/>
          <w:b/>
          <w:bCs/>
          <w:color w:val="7030A0"/>
          <w:sz w:val="28"/>
          <w:szCs w:val="32"/>
        </w:rPr>
      </w:pPr>
      <w:r>
        <w:rPr>
          <w:rFonts w:eastAsia="Calibri"/>
          <w:b/>
          <w:bCs/>
          <w:color w:val="7030A0"/>
          <w:sz w:val="28"/>
          <w:szCs w:val="32"/>
        </w:rPr>
        <w:br w:type="page"/>
      </w:r>
    </w:p>
    <w:p w14:paraId="5B45A42A" w14:textId="77777777" w:rsidR="00291AAD" w:rsidRPr="002F2A86" w:rsidRDefault="00291AAD" w:rsidP="00291AAD">
      <w:pPr>
        <w:pStyle w:val="Heading2"/>
      </w:pPr>
      <w:r>
        <w:t>R8</w:t>
      </w:r>
      <w:r w:rsidRPr="002F2A86">
        <w:t xml:space="preserve">: </w:t>
      </w:r>
      <w:r>
        <w:t>Failure to deliver the agreed Business Plan</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24"/>
        <w:gridCol w:w="1725"/>
        <w:gridCol w:w="1725"/>
        <w:gridCol w:w="1724"/>
        <w:gridCol w:w="1725"/>
        <w:gridCol w:w="1725"/>
      </w:tblGrid>
      <w:tr w:rsidR="00291AAD" w:rsidRPr="002F2A86" w14:paraId="4AE5CAD2" w14:textId="77777777" w:rsidTr="00F2738E">
        <w:tc>
          <w:tcPr>
            <w:tcW w:w="5174" w:type="dxa"/>
            <w:gridSpan w:val="3"/>
            <w:shd w:val="clear" w:color="auto" w:fill="auto"/>
            <w:hideMark/>
          </w:tcPr>
          <w:p w14:paraId="19B7C696" w14:textId="77777777" w:rsidR="00291AAD" w:rsidRPr="00D17FED" w:rsidRDefault="00291AAD" w:rsidP="00F2738E">
            <w:pPr>
              <w:spacing w:before="120" w:after="120"/>
              <w:ind w:left="41"/>
              <w:rPr>
                <w:rFonts w:eastAsia="Calibri"/>
                <w:b/>
              </w:rPr>
            </w:pPr>
            <w:r w:rsidRPr="00D17FED">
              <w:rPr>
                <w:rFonts w:eastAsia="Calibri"/>
                <w:b/>
              </w:rPr>
              <w:t>Inherent risk level:</w:t>
            </w:r>
          </w:p>
        </w:tc>
        <w:tc>
          <w:tcPr>
            <w:tcW w:w="5174" w:type="dxa"/>
            <w:gridSpan w:val="3"/>
            <w:shd w:val="clear" w:color="auto" w:fill="auto"/>
          </w:tcPr>
          <w:p w14:paraId="3A4A2E7A" w14:textId="77777777" w:rsidR="00291AAD" w:rsidRPr="00D17FED" w:rsidRDefault="00291AAD" w:rsidP="00F2738E">
            <w:pPr>
              <w:spacing w:before="120" w:after="120"/>
              <w:ind w:left="41"/>
              <w:rPr>
                <w:rFonts w:eastAsia="Calibri"/>
                <w:b/>
              </w:rPr>
            </w:pPr>
            <w:r w:rsidRPr="00D17FED">
              <w:rPr>
                <w:rFonts w:eastAsia="Calibri"/>
                <w:b/>
              </w:rPr>
              <w:t>Residual risk level:</w:t>
            </w:r>
          </w:p>
        </w:tc>
      </w:tr>
      <w:tr w:rsidR="00291AAD" w:rsidRPr="002F2A86" w14:paraId="67BA2AD3" w14:textId="77777777" w:rsidTr="00F2738E">
        <w:tc>
          <w:tcPr>
            <w:tcW w:w="1724" w:type="dxa"/>
            <w:shd w:val="clear" w:color="auto" w:fill="E5F0FF"/>
            <w:hideMark/>
          </w:tcPr>
          <w:p w14:paraId="6CA2C595" w14:textId="77777777" w:rsidR="00291AAD" w:rsidRPr="00D17FED" w:rsidRDefault="00291AAD" w:rsidP="00F2738E">
            <w:pPr>
              <w:spacing w:before="120" w:after="120"/>
              <w:ind w:left="40"/>
              <w:rPr>
                <w:rFonts w:eastAsia="Calibri"/>
              </w:rPr>
            </w:pPr>
            <w:r w:rsidRPr="00D17FED">
              <w:rPr>
                <w:rFonts w:eastAsia="Calibri"/>
              </w:rPr>
              <w:t xml:space="preserve">Likelihood </w:t>
            </w:r>
          </w:p>
        </w:tc>
        <w:tc>
          <w:tcPr>
            <w:tcW w:w="1725" w:type="dxa"/>
            <w:shd w:val="clear" w:color="auto" w:fill="E5F0FF"/>
            <w:hideMark/>
          </w:tcPr>
          <w:p w14:paraId="3B82E987" w14:textId="77777777" w:rsidR="00291AAD" w:rsidRPr="00D17FED" w:rsidRDefault="00291AAD" w:rsidP="00F2738E">
            <w:pPr>
              <w:spacing w:before="120" w:after="120"/>
              <w:ind w:left="40"/>
              <w:rPr>
                <w:rFonts w:eastAsia="Calibri"/>
              </w:rPr>
            </w:pPr>
            <w:r w:rsidRPr="00D17FED">
              <w:rPr>
                <w:rFonts w:eastAsia="Calibri"/>
              </w:rPr>
              <w:t xml:space="preserve">Impact </w:t>
            </w:r>
          </w:p>
        </w:tc>
        <w:tc>
          <w:tcPr>
            <w:tcW w:w="1725" w:type="dxa"/>
            <w:shd w:val="clear" w:color="auto" w:fill="E5F0FF"/>
            <w:hideMark/>
          </w:tcPr>
          <w:p w14:paraId="2845B863" w14:textId="77777777" w:rsidR="00291AAD" w:rsidRPr="00D17FED" w:rsidRDefault="00291AAD" w:rsidP="00F2738E">
            <w:pPr>
              <w:spacing w:before="120" w:after="120"/>
              <w:ind w:left="40"/>
              <w:rPr>
                <w:rFonts w:eastAsia="Calibri"/>
              </w:rPr>
            </w:pPr>
            <w:r w:rsidRPr="00D17FED">
              <w:rPr>
                <w:rFonts w:eastAsia="Calibri"/>
              </w:rPr>
              <w:t>Inherent risk</w:t>
            </w:r>
          </w:p>
        </w:tc>
        <w:tc>
          <w:tcPr>
            <w:tcW w:w="1724" w:type="dxa"/>
            <w:shd w:val="clear" w:color="auto" w:fill="E5F0FF"/>
          </w:tcPr>
          <w:p w14:paraId="15BF675D" w14:textId="77777777" w:rsidR="00291AAD" w:rsidRPr="00D17FED" w:rsidRDefault="00291AAD" w:rsidP="00F2738E">
            <w:pPr>
              <w:spacing w:before="120" w:after="120"/>
              <w:ind w:left="40"/>
              <w:rPr>
                <w:rFonts w:eastAsia="Calibri"/>
              </w:rPr>
            </w:pPr>
            <w:r w:rsidRPr="00D17FED">
              <w:rPr>
                <w:rFonts w:eastAsia="Calibri"/>
                <w:b/>
              </w:rPr>
              <w:t>Likelihood</w:t>
            </w:r>
          </w:p>
        </w:tc>
        <w:tc>
          <w:tcPr>
            <w:tcW w:w="1725" w:type="dxa"/>
            <w:shd w:val="clear" w:color="auto" w:fill="E5F0FF"/>
          </w:tcPr>
          <w:p w14:paraId="6AED1381" w14:textId="77777777" w:rsidR="00291AAD" w:rsidRPr="00D17FED" w:rsidRDefault="00291AAD" w:rsidP="00F2738E">
            <w:pPr>
              <w:spacing w:before="120" w:after="120"/>
              <w:ind w:left="40"/>
              <w:rPr>
                <w:rFonts w:eastAsia="Calibri"/>
                <w:b/>
              </w:rPr>
            </w:pPr>
            <w:r w:rsidRPr="00D17FED">
              <w:rPr>
                <w:rFonts w:eastAsia="Calibri"/>
                <w:b/>
              </w:rPr>
              <w:t>Impact</w:t>
            </w:r>
          </w:p>
        </w:tc>
        <w:tc>
          <w:tcPr>
            <w:tcW w:w="1725" w:type="dxa"/>
            <w:shd w:val="clear" w:color="auto" w:fill="E5F0FF"/>
          </w:tcPr>
          <w:p w14:paraId="241228F6" w14:textId="77777777" w:rsidR="00291AAD" w:rsidRPr="00D17FED" w:rsidRDefault="00291AAD" w:rsidP="00F2738E">
            <w:pPr>
              <w:spacing w:before="120" w:after="120"/>
              <w:ind w:left="40"/>
              <w:rPr>
                <w:rFonts w:eastAsia="Calibri"/>
                <w:b/>
              </w:rPr>
            </w:pPr>
            <w:r w:rsidRPr="00D17FED">
              <w:rPr>
                <w:rFonts w:eastAsia="Calibri"/>
                <w:b/>
              </w:rPr>
              <w:t>Residual risk</w:t>
            </w:r>
          </w:p>
        </w:tc>
      </w:tr>
      <w:tr w:rsidR="00291AAD" w:rsidRPr="002F2A86" w14:paraId="3331D40A" w14:textId="77777777" w:rsidTr="00F2738E">
        <w:trPr>
          <w:trHeight w:val="300"/>
        </w:trPr>
        <w:tc>
          <w:tcPr>
            <w:tcW w:w="1724" w:type="dxa"/>
          </w:tcPr>
          <w:p w14:paraId="6C09C91A" w14:textId="77777777" w:rsidR="00291AAD" w:rsidRPr="00D17FED" w:rsidRDefault="00291AAD" w:rsidP="00F2738E">
            <w:pPr>
              <w:spacing w:before="120" w:after="120"/>
              <w:ind w:left="40"/>
              <w:rPr>
                <w:rFonts w:eastAsia="Calibri"/>
              </w:rPr>
            </w:pPr>
            <w:r>
              <w:rPr>
                <w:rFonts w:eastAsia="Calibri"/>
              </w:rPr>
              <w:t>3</w:t>
            </w:r>
          </w:p>
        </w:tc>
        <w:tc>
          <w:tcPr>
            <w:tcW w:w="1725" w:type="dxa"/>
          </w:tcPr>
          <w:p w14:paraId="4E74CC3A" w14:textId="77777777" w:rsidR="00291AAD" w:rsidRPr="00D17FED" w:rsidRDefault="00291AAD" w:rsidP="00F2738E">
            <w:pPr>
              <w:spacing w:before="120" w:after="120"/>
              <w:ind w:left="40"/>
              <w:rPr>
                <w:rFonts w:eastAsia="Calibri"/>
              </w:rPr>
            </w:pPr>
            <w:r>
              <w:rPr>
                <w:rFonts w:eastAsia="Calibri"/>
              </w:rPr>
              <w:t>4</w:t>
            </w:r>
          </w:p>
        </w:tc>
        <w:tc>
          <w:tcPr>
            <w:tcW w:w="1725" w:type="dxa"/>
            <w:shd w:val="clear" w:color="auto" w:fill="FFC000"/>
          </w:tcPr>
          <w:p w14:paraId="71CBA88E" w14:textId="77777777" w:rsidR="00291AAD" w:rsidRPr="00D17FED" w:rsidRDefault="00291AAD" w:rsidP="00F2738E">
            <w:pPr>
              <w:spacing w:before="120" w:after="120"/>
              <w:ind w:left="40"/>
              <w:rPr>
                <w:rFonts w:eastAsia="Calibri"/>
              </w:rPr>
            </w:pPr>
            <w:r>
              <w:rPr>
                <w:rFonts w:eastAsia="Calibri"/>
              </w:rPr>
              <w:t>12</w:t>
            </w:r>
            <w:r w:rsidRPr="00F010FB">
              <w:rPr>
                <w:rFonts w:eastAsia="Calibri"/>
              </w:rPr>
              <w:t xml:space="preserve"> – </w:t>
            </w:r>
            <w:r>
              <w:rPr>
                <w:rFonts w:eastAsia="Calibri"/>
              </w:rPr>
              <w:t>High</w:t>
            </w:r>
            <w:r w:rsidRPr="00F010FB">
              <w:rPr>
                <w:rFonts w:eastAsia="Calibri"/>
              </w:rPr>
              <w:t xml:space="preserve"> </w:t>
            </w:r>
          </w:p>
        </w:tc>
        <w:tc>
          <w:tcPr>
            <w:tcW w:w="1724" w:type="dxa"/>
            <w:shd w:val="clear" w:color="auto" w:fill="auto"/>
          </w:tcPr>
          <w:p w14:paraId="2D0E4779" w14:textId="77777777" w:rsidR="00291AAD" w:rsidRPr="00D17FED" w:rsidRDefault="00291AAD" w:rsidP="00F2738E">
            <w:pPr>
              <w:spacing w:before="120" w:after="120"/>
              <w:ind w:left="40"/>
              <w:rPr>
                <w:rFonts w:eastAsia="Calibri"/>
                <w:b/>
              </w:rPr>
            </w:pPr>
            <w:r w:rsidRPr="7441792C">
              <w:rPr>
                <w:rFonts w:eastAsia="Calibri"/>
                <w:b/>
                <w:bCs/>
              </w:rPr>
              <w:t>4</w:t>
            </w:r>
          </w:p>
        </w:tc>
        <w:tc>
          <w:tcPr>
            <w:tcW w:w="1725" w:type="dxa"/>
            <w:shd w:val="clear" w:color="auto" w:fill="auto"/>
          </w:tcPr>
          <w:p w14:paraId="17D8B86A" w14:textId="77777777" w:rsidR="00291AAD" w:rsidRPr="00D17FED" w:rsidRDefault="00291AAD" w:rsidP="00F2738E">
            <w:pPr>
              <w:spacing w:before="120" w:after="120"/>
              <w:ind w:left="40"/>
              <w:rPr>
                <w:rFonts w:eastAsia="Calibri"/>
                <w:b/>
              </w:rPr>
            </w:pPr>
            <w:r>
              <w:rPr>
                <w:rFonts w:eastAsia="Calibri"/>
                <w:b/>
              </w:rPr>
              <w:t>3</w:t>
            </w:r>
          </w:p>
        </w:tc>
        <w:tc>
          <w:tcPr>
            <w:tcW w:w="1725" w:type="dxa"/>
            <w:shd w:val="clear" w:color="auto" w:fill="FFC000"/>
          </w:tcPr>
          <w:p w14:paraId="70276A9C" w14:textId="77777777" w:rsidR="00291AAD" w:rsidRPr="00D17FED" w:rsidRDefault="00291AAD" w:rsidP="00F2738E">
            <w:pPr>
              <w:spacing w:before="120" w:after="120"/>
              <w:ind w:left="40"/>
              <w:rPr>
                <w:rFonts w:eastAsia="Calibri"/>
              </w:rPr>
            </w:pPr>
            <w:r w:rsidRPr="7441792C">
              <w:rPr>
                <w:rFonts w:eastAsia="Calibri"/>
              </w:rPr>
              <w:t xml:space="preserve"> 12 – High</w:t>
            </w:r>
          </w:p>
        </w:tc>
      </w:tr>
      <w:tr w:rsidR="00291AAD" w:rsidRPr="002F2A86" w14:paraId="2F460BB8" w14:textId="77777777" w:rsidTr="00F2738E">
        <w:tc>
          <w:tcPr>
            <w:tcW w:w="8623" w:type="dxa"/>
            <w:gridSpan w:val="5"/>
            <w:shd w:val="clear" w:color="auto" w:fill="auto"/>
            <w:hideMark/>
          </w:tcPr>
          <w:p w14:paraId="19A056BB" w14:textId="77777777" w:rsidR="00291AAD" w:rsidRPr="00D17FED" w:rsidRDefault="00291AAD" w:rsidP="00F2738E">
            <w:pPr>
              <w:spacing w:before="120" w:after="120"/>
              <w:ind w:left="40"/>
              <w:rPr>
                <w:rFonts w:eastAsia="Calibri"/>
                <w:b/>
              </w:rPr>
            </w:pPr>
            <w:r w:rsidRPr="00D17FED">
              <w:rPr>
                <w:rFonts w:eastAsia="Calibri"/>
                <w:b/>
              </w:rPr>
              <w:t xml:space="preserve">Tolerance threshold: </w:t>
            </w:r>
          </w:p>
        </w:tc>
        <w:tc>
          <w:tcPr>
            <w:tcW w:w="1725" w:type="dxa"/>
            <w:shd w:val="clear" w:color="auto" w:fill="FFFF00"/>
          </w:tcPr>
          <w:p w14:paraId="372C0845" w14:textId="77777777" w:rsidR="00291AAD" w:rsidRPr="00D17FED" w:rsidRDefault="00291AAD" w:rsidP="00F2738E">
            <w:pPr>
              <w:spacing w:before="120" w:after="120"/>
              <w:ind w:left="40"/>
              <w:rPr>
                <w:rFonts w:eastAsia="Calibri"/>
                <w:b/>
              </w:rPr>
            </w:pPr>
            <w:r>
              <w:rPr>
                <w:rFonts w:eastAsia="Calibri"/>
                <w:b/>
              </w:rPr>
              <w:t>6 – Medium</w:t>
            </w:r>
          </w:p>
        </w:tc>
      </w:tr>
    </w:tbl>
    <w:p w14:paraId="2D3C64B7" w14:textId="77777777" w:rsidR="00291AAD" w:rsidRDefault="00291AAD" w:rsidP="00291AAD">
      <w:pPr>
        <w:rPr>
          <w:rFonts w:eastAsia="Calibri"/>
          <w:b/>
        </w:rPr>
      </w:pPr>
    </w:p>
    <w:tbl>
      <w:tblPr>
        <w:tblW w:w="10348"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8E90"/>
        </w:tblBorders>
        <w:tblLayout w:type="fixed"/>
        <w:tblCellMar>
          <w:left w:w="28" w:type="dxa"/>
          <w:right w:w="28" w:type="dxa"/>
        </w:tblCellMar>
        <w:tblLook w:val="04A0" w:firstRow="1" w:lastRow="0" w:firstColumn="1" w:lastColumn="0" w:noHBand="0" w:noVBand="1"/>
      </w:tblPr>
      <w:tblGrid>
        <w:gridCol w:w="10348"/>
      </w:tblGrid>
      <w:tr w:rsidR="00291AAD" w:rsidRPr="002F2A86" w14:paraId="28C1D472" w14:textId="77777777" w:rsidTr="00F2738E">
        <w:trPr>
          <w:trHeight w:val="510"/>
        </w:trPr>
        <w:tc>
          <w:tcPr>
            <w:tcW w:w="10348" w:type="dxa"/>
          </w:tcPr>
          <w:p w14:paraId="00F09647" w14:textId="77777777" w:rsidR="00291AAD" w:rsidRPr="00D17FED" w:rsidRDefault="00291AAD" w:rsidP="00F2738E">
            <w:pPr>
              <w:spacing w:before="120" w:after="120" w:line="276" w:lineRule="auto"/>
              <w:ind w:left="112"/>
              <w:rPr>
                <w:rFonts w:eastAsia="Calibri"/>
                <w:b/>
              </w:rPr>
            </w:pPr>
            <w:r w:rsidRPr="00D17FED">
              <w:rPr>
                <w:rFonts w:eastAsia="Calibri"/>
                <w:b/>
              </w:rPr>
              <w:t>Commentary</w:t>
            </w:r>
          </w:p>
        </w:tc>
      </w:tr>
      <w:tr w:rsidR="00291AAD" w:rsidRPr="002F2A86" w14:paraId="0CC106BF" w14:textId="77777777" w:rsidTr="00F2738E">
        <w:trPr>
          <w:trHeight w:val="2128"/>
        </w:trPr>
        <w:tc>
          <w:tcPr>
            <w:tcW w:w="10348" w:type="dxa"/>
          </w:tcPr>
          <w:p w14:paraId="2EFFEB2A" w14:textId="77777777" w:rsidR="00291AAD" w:rsidRPr="00D634B7" w:rsidRDefault="00291AAD" w:rsidP="00F2738E">
            <w:pPr>
              <w:spacing w:before="120" w:after="120" w:line="276" w:lineRule="auto"/>
              <w:ind w:left="111" w:right="114"/>
              <w:rPr>
                <w:rFonts w:eastAsia="Calibri"/>
                <w:b/>
              </w:rPr>
            </w:pPr>
            <w:r>
              <w:rPr>
                <w:rFonts w:eastAsia="Calibri"/>
                <w:b/>
              </w:rPr>
              <w:t>Above</w:t>
            </w:r>
            <w:r w:rsidRPr="007C2009">
              <w:rPr>
                <w:rFonts w:eastAsia="Calibri"/>
                <w:b/>
              </w:rPr>
              <w:t xml:space="preserve"> tolerance.</w:t>
            </w:r>
          </w:p>
          <w:p w14:paraId="2AED6FC1" w14:textId="77777777" w:rsidR="00291AAD" w:rsidRDefault="00291AAD" w:rsidP="00F2738E">
            <w:pPr>
              <w:spacing w:before="120" w:after="120" w:line="276" w:lineRule="auto"/>
              <w:ind w:left="111" w:right="114"/>
              <w:rPr>
                <w:rFonts w:eastAsia="Calibri"/>
              </w:rPr>
            </w:pPr>
            <w:r w:rsidRPr="14E6FF97">
              <w:rPr>
                <w:rFonts w:eastAsia="Calibri"/>
              </w:rPr>
              <w:t xml:space="preserve">The 2023/24 Business Plan has been created through a codesign process involving Board and staff such that we are confident that it is both challenging but achievable. </w:t>
            </w:r>
          </w:p>
          <w:p w14:paraId="71E517DD" w14:textId="77777777" w:rsidR="00291AAD" w:rsidRDefault="00291AAD" w:rsidP="00F2738E">
            <w:pPr>
              <w:spacing w:before="120" w:after="120" w:line="276" w:lineRule="auto"/>
              <w:ind w:left="111" w:right="114"/>
              <w:rPr>
                <w:rFonts w:eastAsia="Calibri"/>
                <w:bCs/>
              </w:rPr>
            </w:pPr>
            <w:r>
              <w:rPr>
                <w:rFonts w:eastAsia="Calibri"/>
                <w:bCs/>
              </w:rPr>
              <w:t>We operate a formal Portfolio Management approach to the management of our Business Plan delivery, with explicit processes and best practice outputs tracking progress and scrutiny at Business Delivery Team (middle management) fortnightly, Portfolio SMT (senior management) monthly and Board quarterly.</w:t>
            </w:r>
          </w:p>
          <w:p w14:paraId="7CD16C2F" w14:textId="77777777" w:rsidR="00291AAD" w:rsidRDefault="00291AAD" w:rsidP="00F2738E">
            <w:pPr>
              <w:spacing w:before="120" w:after="120" w:line="276" w:lineRule="auto"/>
              <w:ind w:left="111" w:right="114"/>
              <w:rPr>
                <w:rFonts w:eastAsia="Calibri"/>
                <w:bCs/>
              </w:rPr>
            </w:pPr>
            <w:r>
              <w:rPr>
                <w:rFonts w:eastAsia="Calibri"/>
                <w:bCs/>
              </w:rPr>
              <w:t>Portfolio Management allows us to be flexible in-year so that as we are reviewing our performance, we can also consider additional requests and pressures as they arise, refining our Business Plan through change control and redeploying resources as needed.</w:t>
            </w:r>
          </w:p>
          <w:p w14:paraId="09304914" w14:textId="77777777" w:rsidR="00291AAD" w:rsidRDefault="00291AAD" w:rsidP="00F2738E">
            <w:pPr>
              <w:spacing w:before="120" w:after="120" w:line="276" w:lineRule="auto"/>
              <w:ind w:left="111" w:right="114"/>
              <w:rPr>
                <w:rFonts w:eastAsia="Calibri"/>
              </w:rPr>
            </w:pPr>
            <w:r w:rsidRPr="6A1AB05B">
              <w:rPr>
                <w:rFonts w:eastAsia="Calibri"/>
              </w:rPr>
              <w:t xml:space="preserve">To date, progress to deliver the </w:t>
            </w:r>
            <w:r w:rsidRPr="14E6FF97">
              <w:rPr>
                <w:rFonts w:eastAsia="Calibri"/>
              </w:rPr>
              <w:t>2023</w:t>
            </w:r>
            <w:r w:rsidRPr="6A1AB05B">
              <w:rPr>
                <w:rFonts w:eastAsia="Calibri"/>
              </w:rPr>
              <w:t xml:space="preserve">/24 Business Plan has been noted as acceptable, albeit that several indicative Project start dates have been adjusted through change control to later in the year. </w:t>
            </w:r>
          </w:p>
          <w:p w14:paraId="1C703D70" w14:textId="77777777" w:rsidR="00291AAD" w:rsidRPr="00695D88" w:rsidRDefault="00291AAD" w:rsidP="00F2738E">
            <w:pPr>
              <w:spacing w:before="120" w:after="120" w:line="276" w:lineRule="auto"/>
              <w:ind w:left="111" w:right="114"/>
              <w:rPr>
                <w:rFonts w:eastAsia="Calibri"/>
              </w:rPr>
            </w:pPr>
            <w:r w:rsidRPr="6A1AB05B">
              <w:rPr>
                <w:rFonts w:eastAsia="Calibri"/>
              </w:rPr>
              <w:t xml:space="preserve">This risk is currently considered above tolerance. We have an ambitious Business Plan and the Q1 financial outturn is such that it is unlikely that we will be able to progress all the items that we have identified for delivery (see Risk 5). </w:t>
            </w:r>
          </w:p>
          <w:p w14:paraId="18F1BBDF" w14:textId="77777777" w:rsidR="00291AAD" w:rsidRPr="00695D88" w:rsidRDefault="00291AAD" w:rsidP="00F2738E">
            <w:pPr>
              <w:spacing w:before="120" w:after="120" w:line="276" w:lineRule="auto"/>
              <w:ind w:left="111" w:right="114"/>
              <w:rPr>
                <w:rFonts w:eastAsia="Calibri"/>
              </w:rPr>
            </w:pPr>
            <w:r w:rsidRPr="6A1AB05B">
              <w:rPr>
                <w:rFonts w:eastAsia="Calibri"/>
              </w:rPr>
              <w:t xml:space="preserve">We are also experiencing staffing issues within key technical positions, and this is impacting our capacity to deliver key work (see Risk 4). The combined effect means that we may have to scale back some of our ambitions in-year. </w:t>
            </w:r>
          </w:p>
        </w:tc>
      </w:tr>
    </w:tbl>
    <w:p w14:paraId="642C91B8" w14:textId="77777777" w:rsidR="00291AAD" w:rsidRDefault="00291AAD" w:rsidP="00291AAD">
      <w:pPr>
        <w:rPr>
          <w:rFonts w:eastAsia="Calibri"/>
          <w:b/>
          <w:bCs/>
          <w:color w:val="7030A0"/>
          <w:sz w:val="28"/>
          <w:szCs w:val="32"/>
        </w:rPr>
      </w:pPr>
    </w:p>
    <w:p w14:paraId="1CDF32DC" w14:textId="77777777" w:rsidR="00291AAD" w:rsidRDefault="00291AAD" w:rsidP="00291AAD">
      <w:pPr>
        <w:rPr>
          <w:rFonts w:eastAsia="Calibri"/>
          <w:b/>
          <w:bCs/>
          <w:color w:val="7030A0"/>
          <w:sz w:val="28"/>
          <w:szCs w:val="32"/>
        </w:rPr>
      </w:pPr>
    </w:p>
    <w:p w14:paraId="39AEF4CB" w14:textId="77777777" w:rsidR="00291AAD" w:rsidRDefault="00291AAD" w:rsidP="00291AAD">
      <w:pPr>
        <w:pStyle w:val="Heading2"/>
        <w:rPr>
          <w:color w:val="7030A0"/>
          <w:szCs w:val="24"/>
        </w:rPr>
      </w:pPr>
      <w:r w:rsidRPr="001579AA" w:rsidDel="00DB7B0C">
        <w:t xml:space="preserve"> </w:t>
      </w:r>
      <w:r>
        <w:rPr>
          <w:color w:val="7030A0"/>
          <w:sz w:val="28"/>
          <w:szCs w:val="32"/>
        </w:rPr>
        <w:br w:type="page"/>
      </w:r>
      <w:r w:rsidRPr="00C11138">
        <w:rPr>
          <w:color w:val="7030A0"/>
          <w:szCs w:val="24"/>
        </w:rPr>
        <w:t>Reviews and revisions</w:t>
      </w:r>
    </w:p>
    <w:p w14:paraId="276B7AA1" w14:textId="77777777" w:rsidR="00291AAD" w:rsidRPr="00291AAD" w:rsidRDefault="00291AAD" w:rsidP="00291AAD"/>
    <w:p w14:paraId="07F1E58B" w14:textId="77777777" w:rsidR="00291AAD" w:rsidRPr="00C11138" w:rsidRDefault="00291AAD" w:rsidP="00291AAD">
      <w:pPr>
        <w:spacing w:after="240"/>
        <w:rPr>
          <w:rFonts w:eastAsia="Arial"/>
          <w:color w:val="7030A0"/>
          <w:u w:val="single"/>
        </w:rPr>
      </w:pPr>
      <w:r w:rsidRPr="00C11138">
        <w:rPr>
          <w:rFonts w:eastAsia="Arial"/>
          <w:b/>
          <w:bCs/>
          <w:color w:val="7030A0"/>
        </w:rPr>
        <w:t>(25/04/23) SMT review April/May 2023</w:t>
      </w:r>
    </w:p>
    <w:p w14:paraId="65FFB825" w14:textId="77777777" w:rsidR="00291AAD" w:rsidRDefault="00291AAD" w:rsidP="00291AAD">
      <w:pPr>
        <w:rPr>
          <w:rFonts w:eastAsia="Calibri"/>
          <w:bCs/>
        </w:rPr>
      </w:pPr>
      <w:r w:rsidRPr="00C11138">
        <w:rPr>
          <w:rFonts w:eastAsia="Calibri"/>
          <w:bCs/>
        </w:rPr>
        <w:t>At its meeting in April, the SMT reviewed each of its Strategic risks. There was discussion around whether we have sufficient breadth of risk and whether a risk that focused on data and digital was needed in addition to the risk around delivery of the Development programme. It was agreed that each risk owner should review their risk descriptions and in addition create 2 new risks around business plan delivery and strategy – strategic direction. A risk focussing on compliance is to be discussed at the next meeting.</w:t>
      </w:r>
    </w:p>
    <w:p w14:paraId="13AA4AAE" w14:textId="77777777" w:rsidR="00291AAD" w:rsidRPr="00C11138" w:rsidRDefault="00291AAD" w:rsidP="00291AAD">
      <w:pPr>
        <w:rPr>
          <w:rFonts w:eastAsia="Calibri"/>
          <w:bCs/>
        </w:rPr>
      </w:pPr>
    </w:p>
    <w:p w14:paraId="1E485B8E" w14:textId="77777777" w:rsidR="00291AAD" w:rsidRPr="00C11138" w:rsidRDefault="00291AAD" w:rsidP="00291AAD">
      <w:pPr>
        <w:spacing w:after="240"/>
        <w:rPr>
          <w:rFonts w:eastAsia="Arial"/>
          <w:color w:val="7030A0"/>
          <w:u w:val="single"/>
        </w:rPr>
      </w:pPr>
      <w:r w:rsidRPr="00C11138">
        <w:rPr>
          <w:rFonts w:eastAsia="Arial"/>
          <w:b/>
          <w:bCs/>
          <w:color w:val="7030A0"/>
        </w:rPr>
        <w:t>(23/05/23) SMT review April/May 2023</w:t>
      </w:r>
    </w:p>
    <w:p w14:paraId="58ED1094" w14:textId="77777777" w:rsidR="00291AAD" w:rsidRPr="00C11138" w:rsidRDefault="00291AAD" w:rsidP="00291AAD">
      <w:pPr>
        <w:rPr>
          <w:rFonts w:eastAsia="Calibri"/>
          <w:bCs/>
        </w:rPr>
      </w:pPr>
      <w:r w:rsidRPr="00C11138">
        <w:rPr>
          <w:rFonts w:eastAsia="Calibri"/>
          <w:bCs/>
        </w:rPr>
        <w:t>At its May meeting, the SMT agreed the re-wording of risk 2 and a reduction in the likelihood. Risk 4 has been amended to reflect not just recruitment and vacancies but to reflect risks around the workforce.</w:t>
      </w:r>
    </w:p>
    <w:p w14:paraId="19A1EE3C" w14:textId="77777777" w:rsidR="00291AAD" w:rsidRPr="00C11138" w:rsidRDefault="00291AAD" w:rsidP="00291AAD">
      <w:pPr>
        <w:rPr>
          <w:rFonts w:eastAsia="Calibri"/>
          <w:bCs/>
        </w:rPr>
      </w:pPr>
      <w:r w:rsidRPr="00C11138">
        <w:rPr>
          <w:rFonts w:eastAsia="Calibri"/>
          <w:bCs/>
        </w:rPr>
        <w:t>Risk 5 has been re-cast, however, SMT felt that the tolerance level was too low and that this will be brought to ARAC in June to discuss a recommendation to the Board to increase it to 4.</w:t>
      </w:r>
    </w:p>
    <w:p w14:paraId="743D3FEC" w14:textId="77777777" w:rsidR="00291AAD" w:rsidRPr="00C11138" w:rsidRDefault="00291AAD" w:rsidP="00291AAD">
      <w:pPr>
        <w:rPr>
          <w:rFonts w:eastAsia="Calibri"/>
          <w:bCs/>
        </w:rPr>
      </w:pPr>
      <w:r w:rsidRPr="00C11138">
        <w:rPr>
          <w:rFonts w:eastAsia="Calibri"/>
          <w:bCs/>
        </w:rPr>
        <w:t>Risk 6 has been split into two (risk 6 and risk 8) to reflect risks around our strategy and our business planning.</w:t>
      </w:r>
    </w:p>
    <w:p w14:paraId="6CCA2F8D" w14:textId="77777777" w:rsidR="00291AAD" w:rsidRDefault="00291AAD" w:rsidP="00291AAD">
      <w:pPr>
        <w:rPr>
          <w:rFonts w:eastAsia="Calibri"/>
          <w:bCs/>
        </w:rPr>
      </w:pPr>
      <w:r w:rsidRPr="00C11138">
        <w:rPr>
          <w:rFonts w:eastAsia="Calibri"/>
          <w:bCs/>
        </w:rPr>
        <w:t xml:space="preserve">There is a final risk (risk 9) which requires further discussion. The risk update paper presented to ARAC in June will refer to this risk and the need for discussion. </w:t>
      </w:r>
    </w:p>
    <w:p w14:paraId="13F61158" w14:textId="77777777" w:rsidR="00291AAD" w:rsidRPr="00C11138" w:rsidRDefault="00291AAD" w:rsidP="00291AAD">
      <w:pPr>
        <w:rPr>
          <w:rFonts w:eastAsia="Calibri"/>
          <w:bCs/>
        </w:rPr>
      </w:pPr>
    </w:p>
    <w:p w14:paraId="238F26F1" w14:textId="77777777" w:rsidR="00291AAD" w:rsidRPr="00C11138" w:rsidRDefault="00291AAD" w:rsidP="00291AAD">
      <w:pPr>
        <w:spacing w:after="240"/>
        <w:rPr>
          <w:rFonts w:eastAsia="Arial"/>
          <w:color w:val="7030A0"/>
          <w:u w:val="single"/>
        </w:rPr>
      </w:pPr>
      <w:r w:rsidRPr="00C11138">
        <w:rPr>
          <w:rFonts w:eastAsia="Calibri"/>
          <w:bCs/>
        </w:rPr>
        <w:t xml:space="preserve"> </w:t>
      </w:r>
      <w:r w:rsidRPr="00C11138">
        <w:rPr>
          <w:rFonts w:eastAsia="Arial"/>
          <w:b/>
          <w:bCs/>
          <w:color w:val="7030A0"/>
        </w:rPr>
        <w:t>(22/08/23) SMT review August 2023</w:t>
      </w:r>
    </w:p>
    <w:p w14:paraId="45D5A2A0" w14:textId="77777777" w:rsidR="00291AAD" w:rsidRPr="00C11138" w:rsidRDefault="00291AAD" w:rsidP="00291AAD">
      <w:pPr>
        <w:rPr>
          <w:rFonts w:eastAsia="Calibri"/>
          <w:bCs/>
        </w:rPr>
      </w:pPr>
      <w:r w:rsidRPr="00C11138">
        <w:rPr>
          <w:rFonts w:eastAsia="Calibri"/>
          <w:bCs/>
        </w:rPr>
        <w:t>SMT reviewed each of their risks. Ratings were amended for the following risks:</w:t>
      </w:r>
    </w:p>
    <w:p w14:paraId="2FCC9B02" w14:textId="77777777" w:rsidR="00291AAD" w:rsidRDefault="00291AAD" w:rsidP="00291AAD">
      <w:pPr>
        <w:pStyle w:val="ListParagraph"/>
        <w:numPr>
          <w:ilvl w:val="0"/>
          <w:numId w:val="36"/>
        </w:numPr>
        <w:rPr>
          <w:rFonts w:eastAsia="Calibri"/>
          <w:bCs/>
          <w:lang w:eastAsia="en-US"/>
        </w:rPr>
      </w:pPr>
      <w:r w:rsidRPr="00C11138">
        <w:rPr>
          <w:rFonts w:eastAsia="Calibri"/>
          <w:bCs/>
          <w:lang w:eastAsia="en-US"/>
        </w:rPr>
        <w:t>Risk 4 – residual risk increased to a rating of ‘high’. Whilst we are experiencing almost full complement of staff, the SMT recognise that there are additional pressures created from absences, staff leave. A key function is currently understaffed which in the short term may impact on other areas of the business.</w:t>
      </w:r>
    </w:p>
    <w:p w14:paraId="57636F1F" w14:textId="77777777" w:rsidR="00291AAD" w:rsidRPr="00C11138" w:rsidRDefault="00291AAD" w:rsidP="00291AAD">
      <w:pPr>
        <w:pStyle w:val="ListParagraph"/>
        <w:rPr>
          <w:rFonts w:eastAsia="Calibri"/>
          <w:bCs/>
          <w:lang w:eastAsia="en-US"/>
        </w:rPr>
      </w:pPr>
    </w:p>
    <w:p w14:paraId="1CAAD879" w14:textId="77777777" w:rsidR="00291AAD" w:rsidRDefault="00291AAD" w:rsidP="00291AAD">
      <w:pPr>
        <w:pStyle w:val="ListParagraph"/>
        <w:numPr>
          <w:ilvl w:val="0"/>
          <w:numId w:val="36"/>
        </w:numPr>
        <w:rPr>
          <w:rFonts w:eastAsia="Calibri"/>
          <w:bCs/>
          <w:lang w:eastAsia="en-US"/>
        </w:rPr>
      </w:pPr>
      <w:r w:rsidRPr="00C11138">
        <w:rPr>
          <w:rFonts w:eastAsia="Calibri"/>
          <w:bCs/>
          <w:lang w:eastAsia="en-US"/>
        </w:rPr>
        <w:t>Risk 5 – has been uprated due to the challenges currently being faced around funding for key projects and pressures that have arisen from changes to the Living Organ Donation (s32). There are mitigations which involve reaching out to the Department, however until feedback is received, the rag status will remain</w:t>
      </w:r>
      <w:r>
        <w:rPr>
          <w:rFonts w:eastAsia="Calibri"/>
          <w:bCs/>
          <w:lang w:eastAsia="en-US"/>
        </w:rPr>
        <w:t>.</w:t>
      </w:r>
    </w:p>
    <w:p w14:paraId="613F561F" w14:textId="77777777" w:rsidR="00291AAD" w:rsidRPr="00CF0A7C" w:rsidRDefault="00291AAD" w:rsidP="00291AAD">
      <w:pPr>
        <w:rPr>
          <w:rFonts w:eastAsia="Calibri"/>
          <w:bCs/>
        </w:rPr>
      </w:pPr>
    </w:p>
    <w:p w14:paraId="55D7DDFE" w14:textId="77777777" w:rsidR="00291AAD" w:rsidRPr="00C11138" w:rsidRDefault="00291AAD" w:rsidP="00291AAD">
      <w:pPr>
        <w:pStyle w:val="ListParagraph"/>
        <w:numPr>
          <w:ilvl w:val="0"/>
          <w:numId w:val="36"/>
        </w:numPr>
        <w:rPr>
          <w:rFonts w:eastAsia="Calibri"/>
          <w:bCs/>
          <w:lang w:eastAsia="en-US"/>
        </w:rPr>
      </w:pPr>
      <w:r w:rsidRPr="00C11138">
        <w:rPr>
          <w:rFonts w:eastAsia="Calibri"/>
          <w:bCs/>
          <w:lang w:eastAsia="en-US"/>
        </w:rPr>
        <w:t>Risk 8 – impacted by risks 4 and 5 as detailed in the commentaries above.</w:t>
      </w:r>
    </w:p>
    <w:p w14:paraId="556C4758" w14:textId="77777777" w:rsidR="00291AAD" w:rsidRDefault="00291AAD" w:rsidP="00291AAD">
      <w:pPr>
        <w:spacing w:line="276" w:lineRule="auto"/>
        <w:rPr>
          <w:rFonts w:eastAsia="Calibri"/>
          <w:b/>
        </w:rPr>
        <w:sectPr w:rsidR="00291AAD" w:rsidSect="00A23045">
          <w:pgSz w:w="11906" w:h="16838"/>
          <w:pgMar w:top="1440" w:right="1440" w:bottom="1440" w:left="851" w:header="709" w:footer="709" w:gutter="0"/>
          <w:cols w:space="708"/>
          <w:titlePg/>
          <w:docGrid w:linePitch="360"/>
        </w:sectPr>
      </w:pPr>
    </w:p>
    <w:p w14:paraId="35F9CE4A" w14:textId="77777777" w:rsidR="00291AAD" w:rsidRDefault="00291AAD" w:rsidP="00291AAD">
      <w:pPr>
        <w:spacing w:line="276" w:lineRule="auto"/>
        <w:rPr>
          <w:rFonts w:eastAsia="Calibri"/>
          <w:b/>
        </w:rPr>
      </w:pPr>
      <w:r>
        <w:rPr>
          <w:rFonts w:eastAsia="Calibri"/>
          <w:b/>
        </w:rPr>
        <w:t>Strategic Aims/approach</w:t>
      </w:r>
    </w:p>
    <w:p w14:paraId="4B6BC61F" w14:textId="77777777" w:rsidR="00291AAD" w:rsidRDefault="00291AAD" w:rsidP="00291AAD">
      <w:pPr>
        <w:spacing w:line="276" w:lineRule="auto"/>
        <w:rPr>
          <w:rFonts w:eastAsia="Calibri"/>
          <w:b/>
        </w:rPr>
      </w:pPr>
      <w:r>
        <w:rPr>
          <w:rFonts w:eastAsia="Calibri"/>
          <w:b/>
          <w:noProof/>
        </w:rPr>
        <w:drawing>
          <wp:inline distT="0" distB="0" distL="0" distR="0" wp14:anchorId="10657894" wp14:editId="1FCF7041">
            <wp:extent cx="9391015" cy="5058293"/>
            <wp:effectExtent l="0" t="0" r="635" b="9525"/>
            <wp:docPr id="21" name="Picture 21" descr="A group of text on a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text on a screen&#10;&#10;Description automatically generated with medium confid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00301" cy="5063295"/>
                    </a:xfrm>
                    <a:prstGeom prst="rect">
                      <a:avLst/>
                    </a:prstGeom>
                    <a:noFill/>
                  </pic:spPr>
                </pic:pic>
              </a:graphicData>
            </a:graphic>
          </wp:inline>
        </w:drawing>
      </w:r>
    </w:p>
    <w:p w14:paraId="009C79EB" w14:textId="77777777" w:rsidR="00291AAD" w:rsidRDefault="00291AAD" w:rsidP="00291AAD">
      <w:pPr>
        <w:spacing w:line="276" w:lineRule="auto"/>
        <w:rPr>
          <w:rFonts w:eastAsia="Calibri"/>
          <w:b/>
        </w:rPr>
        <w:sectPr w:rsidR="00291AAD" w:rsidSect="003E38EB">
          <w:pgSz w:w="16838" w:h="11906" w:orient="landscape"/>
          <w:pgMar w:top="510" w:right="720" w:bottom="720" w:left="720" w:header="709" w:footer="709" w:gutter="0"/>
          <w:cols w:space="708"/>
          <w:titlePg/>
          <w:docGrid w:linePitch="360"/>
        </w:sectPr>
      </w:pPr>
    </w:p>
    <w:p w14:paraId="0DFDDA01" w14:textId="77777777" w:rsidR="00291AAD" w:rsidRPr="006B7BDD" w:rsidRDefault="00291AAD" w:rsidP="00291AAD">
      <w:pPr>
        <w:rPr>
          <w:b/>
        </w:rPr>
      </w:pPr>
      <w:r w:rsidRPr="006B7BDD">
        <w:rPr>
          <w:b/>
        </w:rPr>
        <w:t>Criteria for inclusion of risks</w:t>
      </w:r>
    </w:p>
    <w:p w14:paraId="5EA12397" w14:textId="77777777" w:rsidR="00291AAD" w:rsidRPr="006B7BDD" w:rsidRDefault="00291AAD" w:rsidP="00291AAD">
      <w:pPr>
        <w:pStyle w:val="ListBullet"/>
        <w:tabs>
          <w:tab w:val="clear" w:pos="454"/>
          <w:tab w:val="left" w:pos="2977"/>
        </w:tabs>
        <w:spacing w:after="120" w:line="276" w:lineRule="auto"/>
        <w:ind w:left="567" w:hanging="567"/>
      </w:pPr>
      <w:r w:rsidRPr="006B7BDD">
        <w:t>Whether the risk results in a potentially serious impact on delivery of the HTA’s strategy or purpose.</w:t>
      </w:r>
    </w:p>
    <w:p w14:paraId="66DF4B48" w14:textId="77777777" w:rsidR="00291AAD" w:rsidRPr="006B7BDD" w:rsidRDefault="00291AAD" w:rsidP="00291AAD">
      <w:pPr>
        <w:pStyle w:val="ListBullet"/>
        <w:tabs>
          <w:tab w:val="clear" w:pos="454"/>
          <w:tab w:val="left" w:pos="2977"/>
        </w:tabs>
        <w:spacing w:after="120" w:line="276" w:lineRule="auto"/>
        <w:ind w:left="567" w:hanging="567"/>
      </w:pPr>
      <w:r w:rsidRPr="006B7BDD">
        <w:t>Whether it is possible for the HTA to do anything to control the risk (so external risks such as weather events are not included).</w:t>
      </w:r>
    </w:p>
    <w:p w14:paraId="0B80AD3B" w14:textId="77777777" w:rsidR="00291AAD" w:rsidRPr="006B7BDD" w:rsidRDefault="00291AAD" w:rsidP="00291AAD">
      <w:pPr>
        <w:pStyle w:val="Heading3"/>
        <w:rPr>
          <w:rFonts w:eastAsia="Calibri"/>
          <w:lang w:eastAsia="en-US"/>
        </w:rPr>
      </w:pPr>
      <w:r w:rsidRPr="006B7BDD">
        <w:rPr>
          <w:rFonts w:eastAsia="Calibri"/>
          <w:lang w:eastAsia="en-US"/>
        </w:rPr>
        <w:t>Rank</w:t>
      </w:r>
    </w:p>
    <w:p w14:paraId="62827644" w14:textId="77777777" w:rsidR="00291AAD" w:rsidRPr="006B7BDD" w:rsidRDefault="00291AAD" w:rsidP="00291AAD">
      <w:pPr>
        <w:rPr>
          <w:rFonts w:eastAsia="Calibri"/>
        </w:rPr>
      </w:pPr>
      <w:r w:rsidRPr="006B7BDD">
        <w:rPr>
          <w:rFonts w:eastAsia="Calibri"/>
        </w:rPr>
        <w:t>The risk summary is arranged in risk order.</w:t>
      </w:r>
    </w:p>
    <w:p w14:paraId="41FFF3A2" w14:textId="77777777" w:rsidR="00291AAD" w:rsidRPr="006B7BDD" w:rsidRDefault="00291AAD" w:rsidP="00291AAD">
      <w:pPr>
        <w:spacing w:before="20" w:after="20"/>
        <w:rPr>
          <w:rFonts w:eastAsia="Calibri"/>
        </w:rPr>
      </w:pPr>
    </w:p>
    <w:p w14:paraId="13325B08" w14:textId="77777777" w:rsidR="00291AAD" w:rsidRPr="006B7BDD" w:rsidRDefault="00291AAD" w:rsidP="00291AAD">
      <w:pPr>
        <w:pStyle w:val="Heading3"/>
        <w:rPr>
          <w:rFonts w:eastAsia="Calibri"/>
          <w:lang w:eastAsia="en-US"/>
        </w:rPr>
      </w:pPr>
      <w:bookmarkStart w:id="2" w:name="_Hlk498509938"/>
      <w:r w:rsidRPr="006B7BDD">
        <w:rPr>
          <w:rFonts w:eastAsia="Calibri"/>
          <w:lang w:eastAsia="en-US"/>
        </w:rPr>
        <w:t>Risk scoring system</w:t>
      </w:r>
    </w:p>
    <w:p w14:paraId="0DDAF8D5" w14:textId="77777777" w:rsidR="00291AAD" w:rsidRPr="006B7BDD" w:rsidRDefault="00291AAD" w:rsidP="00291AAD">
      <w:pPr>
        <w:spacing w:before="20" w:after="20"/>
        <w:rPr>
          <w:rFonts w:eastAsia="Calibri"/>
          <w:color w:val="000000"/>
        </w:rPr>
      </w:pPr>
      <w:r w:rsidRPr="006B7BDD">
        <w:rPr>
          <w:rFonts w:eastAsia="Calibri"/>
          <w:color w:val="000000"/>
        </w:rPr>
        <w:t>We use the five-point rating system when assigning a rating to the likelihood and impact of individual risks:</w:t>
      </w:r>
    </w:p>
    <w:p w14:paraId="2488BC54" w14:textId="77777777" w:rsidR="00291AAD" w:rsidRPr="006B7BDD" w:rsidRDefault="00291AAD" w:rsidP="00291AAD">
      <w:pPr>
        <w:tabs>
          <w:tab w:val="left" w:pos="1418"/>
          <w:tab w:val="left" w:pos="3119"/>
          <w:tab w:val="left" w:pos="4536"/>
          <w:tab w:val="left" w:pos="6237"/>
          <w:tab w:val="left" w:pos="7938"/>
        </w:tabs>
        <w:spacing w:before="20" w:after="20"/>
        <w:rPr>
          <w:rFonts w:eastAsia="Calibri"/>
          <w:b/>
          <w:color w:val="000000"/>
        </w:rPr>
      </w:pPr>
      <w:r w:rsidRPr="006B7BDD">
        <w:rPr>
          <w:rFonts w:eastAsia="Calibri"/>
          <w:color w:val="FFFFFF"/>
          <w:shd w:val="clear" w:color="auto" w:fill="008E90"/>
        </w:rPr>
        <w:t>Likelihood:</w:t>
      </w:r>
      <w:r w:rsidRPr="006B7BDD">
        <w:rPr>
          <w:rFonts w:eastAsia="Calibri"/>
          <w:b/>
          <w:color w:val="000000"/>
        </w:rPr>
        <w:t xml:space="preserve"> </w:t>
      </w:r>
      <w:r w:rsidRPr="006B7BDD">
        <w:rPr>
          <w:rFonts w:eastAsia="Calibri"/>
          <w:b/>
          <w:color w:val="000000"/>
        </w:rPr>
        <w:tab/>
      </w:r>
      <w:r w:rsidRPr="006B7BDD">
        <w:rPr>
          <w:rFonts w:eastAsia="Calibri"/>
          <w:color w:val="000000"/>
        </w:rPr>
        <w:t xml:space="preserve">1=Rare </w:t>
      </w:r>
      <w:r w:rsidRPr="006B7BDD">
        <w:rPr>
          <w:rFonts w:eastAsia="Calibri"/>
          <w:color w:val="000000"/>
        </w:rPr>
        <w:tab/>
        <w:t xml:space="preserve">2=Unlikely </w:t>
      </w:r>
      <w:r w:rsidRPr="006B7BDD">
        <w:rPr>
          <w:rFonts w:eastAsia="Calibri"/>
          <w:color w:val="000000"/>
        </w:rPr>
        <w:tab/>
        <w:t xml:space="preserve">3=Possible </w:t>
      </w:r>
      <w:r w:rsidRPr="006B7BDD">
        <w:rPr>
          <w:rFonts w:eastAsia="Calibri"/>
          <w:color w:val="000000"/>
        </w:rPr>
        <w:tab/>
        <w:t xml:space="preserve">4=Likely </w:t>
      </w:r>
      <w:r w:rsidRPr="006B7BDD">
        <w:rPr>
          <w:rFonts w:eastAsia="Calibri"/>
          <w:color w:val="000000"/>
        </w:rPr>
        <w:tab/>
        <w:t>5=Almost certain</w:t>
      </w:r>
      <w:r w:rsidRPr="006B7BDD">
        <w:rPr>
          <w:rFonts w:eastAsia="Calibri"/>
          <w:b/>
          <w:color w:val="000000"/>
        </w:rPr>
        <w:t xml:space="preserve">  </w:t>
      </w:r>
    </w:p>
    <w:p w14:paraId="2CAD97CB" w14:textId="77777777" w:rsidR="00291AAD" w:rsidRPr="006B7BDD" w:rsidRDefault="00291AAD" w:rsidP="00291AAD">
      <w:pPr>
        <w:tabs>
          <w:tab w:val="left" w:pos="1418"/>
          <w:tab w:val="left" w:pos="3119"/>
          <w:tab w:val="left" w:pos="4536"/>
          <w:tab w:val="left" w:pos="6237"/>
          <w:tab w:val="left" w:pos="7938"/>
        </w:tabs>
        <w:spacing w:before="20" w:after="20"/>
        <w:rPr>
          <w:rFonts w:eastAsia="Calibri"/>
          <w:color w:val="000000"/>
        </w:rPr>
      </w:pPr>
      <w:r w:rsidRPr="006B7BDD">
        <w:rPr>
          <w:rFonts w:eastAsia="Calibri"/>
          <w:color w:val="FFFFFF"/>
          <w:shd w:val="clear" w:color="auto" w:fill="1466BF"/>
        </w:rPr>
        <w:t>Impact:</w:t>
      </w:r>
      <w:r w:rsidRPr="006B7BDD">
        <w:rPr>
          <w:rFonts w:eastAsia="Calibri"/>
          <w:b/>
          <w:color w:val="000000"/>
        </w:rPr>
        <w:t xml:space="preserve"> </w:t>
      </w:r>
      <w:r w:rsidRPr="006B7BDD">
        <w:rPr>
          <w:rFonts w:eastAsia="Calibri"/>
          <w:b/>
          <w:color w:val="000000"/>
        </w:rPr>
        <w:tab/>
      </w:r>
      <w:r w:rsidRPr="006B7BDD">
        <w:rPr>
          <w:rFonts w:eastAsia="Calibri"/>
          <w:color w:val="000000"/>
        </w:rPr>
        <w:t xml:space="preserve">1=Very low </w:t>
      </w:r>
      <w:r w:rsidRPr="006B7BDD">
        <w:rPr>
          <w:rFonts w:eastAsia="Calibri"/>
          <w:color w:val="000000"/>
        </w:rPr>
        <w:tab/>
        <w:t xml:space="preserve">2=Low </w:t>
      </w:r>
      <w:r w:rsidRPr="006B7BDD">
        <w:rPr>
          <w:rFonts w:eastAsia="Calibri"/>
          <w:color w:val="000000"/>
        </w:rPr>
        <w:tab/>
        <w:t xml:space="preserve">3=Medium </w:t>
      </w:r>
      <w:r w:rsidRPr="006B7BDD">
        <w:rPr>
          <w:rFonts w:eastAsia="Calibri"/>
          <w:color w:val="000000"/>
        </w:rPr>
        <w:tab/>
        <w:t xml:space="preserve">4=High </w:t>
      </w:r>
      <w:r w:rsidRPr="006B7BDD">
        <w:rPr>
          <w:rFonts w:eastAsia="Calibri"/>
          <w:color w:val="000000"/>
        </w:rPr>
        <w:tab/>
        <w:t>5=Very High</w:t>
      </w:r>
    </w:p>
    <w:bookmarkEnd w:id="2"/>
    <w:p w14:paraId="1AA4FFD8" w14:textId="77777777" w:rsidR="00291AAD" w:rsidRPr="006B7BDD" w:rsidRDefault="00291AAD" w:rsidP="00291AAD">
      <w:pPr>
        <w:rPr>
          <w:rFonts w:eastAsia="Calibri"/>
        </w:rPr>
      </w:pPr>
    </w:p>
    <w:tbl>
      <w:tblPr>
        <w:tblStyle w:val="TableGrid"/>
        <w:tblW w:w="0" w:type="auto"/>
        <w:tblLook w:val="04A0" w:firstRow="1" w:lastRow="0" w:firstColumn="1" w:lastColumn="0" w:noHBand="0" w:noVBand="1"/>
      </w:tblPr>
      <w:tblGrid>
        <w:gridCol w:w="712"/>
        <w:gridCol w:w="1246"/>
        <w:gridCol w:w="1331"/>
        <w:gridCol w:w="1539"/>
        <w:gridCol w:w="1616"/>
        <w:gridCol w:w="1338"/>
        <w:gridCol w:w="1422"/>
      </w:tblGrid>
      <w:tr w:rsidR="00291AAD" w:rsidRPr="006B7BDD" w14:paraId="1F3925EC" w14:textId="77777777" w:rsidTr="00F2738E">
        <w:trPr>
          <w:trHeight w:val="153"/>
        </w:trPr>
        <w:tc>
          <w:tcPr>
            <w:tcW w:w="790" w:type="dxa"/>
            <w:vMerge w:val="restart"/>
            <w:shd w:val="clear" w:color="auto" w:fill="25838F"/>
            <w:textDirection w:val="btLr"/>
          </w:tcPr>
          <w:p w14:paraId="46F7C4AE" w14:textId="77777777" w:rsidR="00291AAD" w:rsidRPr="006B7BDD" w:rsidRDefault="00291AAD" w:rsidP="00F2738E">
            <w:pPr>
              <w:ind w:left="113" w:right="113"/>
              <w:jc w:val="center"/>
              <w:rPr>
                <w:b/>
                <w:bCs/>
                <w:color w:val="FFFFFF" w:themeColor="background1"/>
              </w:rPr>
            </w:pPr>
            <w:r w:rsidRPr="006B7BDD">
              <w:rPr>
                <w:b/>
                <w:bCs/>
                <w:color w:val="FFFFFF" w:themeColor="background1"/>
              </w:rPr>
              <w:t>IMPACT</w:t>
            </w:r>
          </w:p>
        </w:tc>
        <w:tc>
          <w:tcPr>
            <w:tcW w:w="8966" w:type="dxa"/>
            <w:gridSpan w:val="6"/>
            <w:shd w:val="clear" w:color="auto" w:fill="25838F"/>
          </w:tcPr>
          <w:p w14:paraId="2A411E6E" w14:textId="77777777" w:rsidR="00291AAD" w:rsidRPr="006B7BDD" w:rsidRDefault="00291AAD" w:rsidP="00F2738E">
            <w:pPr>
              <w:jc w:val="center"/>
              <w:rPr>
                <w:b/>
                <w:bCs/>
                <w:color w:val="FFFFFF" w:themeColor="background1"/>
              </w:rPr>
            </w:pPr>
            <w:r w:rsidRPr="006B7BDD">
              <w:rPr>
                <w:b/>
                <w:bCs/>
                <w:color w:val="FFFFFF" w:themeColor="background1"/>
              </w:rPr>
              <w:t>Risk Scoring Matrix</w:t>
            </w:r>
          </w:p>
        </w:tc>
      </w:tr>
      <w:tr w:rsidR="00291AAD" w:rsidRPr="006B7BDD" w14:paraId="180B3E0F" w14:textId="77777777" w:rsidTr="00F2738E">
        <w:trPr>
          <w:trHeight w:val="310"/>
        </w:trPr>
        <w:tc>
          <w:tcPr>
            <w:tcW w:w="790" w:type="dxa"/>
            <w:vMerge/>
            <w:tcBorders>
              <w:right w:val="single" w:sz="2" w:space="0" w:color="auto"/>
            </w:tcBorders>
          </w:tcPr>
          <w:p w14:paraId="6E709EE8" w14:textId="77777777" w:rsidR="00291AAD" w:rsidRPr="006B7BDD" w:rsidRDefault="00291AAD" w:rsidP="00F2738E"/>
        </w:tc>
        <w:tc>
          <w:tcPr>
            <w:tcW w:w="1294" w:type="dxa"/>
            <w:tcBorders>
              <w:top w:val="single" w:sz="2" w:space="0" w:color="auto"/>
              <w:left w:val="single" w:sz="2" w:space="0" w:color="auto"/>
              <w:bottom w:val="single" w:sz="2" w:space="0" w:color="auto"/>
              <w:right w:val="single" w:sz="2" w:space="0" w:color="auto"/>
            </w:tcBorders>
            <w:shd w:val="clear" w:color="auto" w:fill="7030A0"/>
          </w:tcPr>
          <w:p w14:paraId="718D11C1" w14:textId="77777777" w:rsidR="00291AAD" w:rsidRPr="006B7BDD" w:rsidRDefault="00291AAD" w:rsidP="00F2738E">
            <w:pPr>
              <w:rPr>
                <w:b/>
                <w:bCs/>
                <w:color w:val="FFFFFF" w:themeColor="background1"/>
              </w:rPr>
            </w:pPr>
            <w:r w:rsidRPr="006B7BDD">
              <w:rPr>
                <w:b/>
                <w:bCs/>
                <w:color w:val="FFFFFF" w:themeColor="background1"/>
              </w:rPr>
              <w:t>5. Very High</w:t>
            </w:r>
          </w:p>
        </w:tc>
        <w:tc>
          <w:tcPr>
            <w:tcW w:w="1432" w:type="dxa"/>
            <w:tcBorders>
              <w:left w:val="single" w:sz="2" w:space="0" w:color="auto"/>
              <w:right w:val="nil"/>
            </w:tcBorders>
            <w:shd w:val="clear" w:color="auto" w:fill="FFFF00"/>
          </w:tcPr>
          <w:p w14:paraId="4BEF1379" w14:textId="77777777" w:rsidR="00291AAD" w:rsidRPr="006B7BDD" w:rsidRDefault="00291AAD" w:rsidP="00F2738E">
            <w:pPr>
              <w:jc w:val="center"/>
            </w:pPr>
            <w:r w:rsidRPr="006B7BDD">
              <w:t>5</w:t>
            </w:r>
          </w:p>
          <w:p w14:paraId="2DCAD443" w14:textId="77777777" w:rsidR="00291AAD" w:rsidRPr="006B7BDD" w:rsidRDefault="00291AAD" w:rsidP="00F2738E">
            <w:pPr>
              <w:jc w:val="center"/>
            </w:pPr>
            <w:r w:rsidRPr="006B7BDD">
              <w:t>Medium</w:t>
            </w:r>
          </w:p>
        </w:tc>
        <w:tc>
          <w:tcPr>
            <w:tcW w:w="1617" w:type="dxa"/>
            <w:tcBorders>
              <w:top w:val="nil"/>
              <w:left w:val="nil"/>
              <w:bottom w:val="single" w:sz="2" w:space="0" w:color="auto"/>
              <w:right w:val="single" w:sz="18" w:space="0" w:color="auto"/>
            </w:tcBorders>
            <w:shd w:val="clear" w:color="auto" w:fill="FFFF00"/>
          </w:tcPr>
          <w:p w14:paraId="593DD6DF" w14:textId="77777777" w:rsidR="00291AAD" w:rsidRPr="006B7BDD" w:rsidRDefault="00291AAD" w:rsidP="00F2738E">
            <w:pPr>
              <w:jc w:val="center"/>
            </w:pPr>
            <w:r w:rsidRPr="006B7BDD">
              <w:t>10</w:t>
            </w:r>
          </w:p>
          <w:p w14:paraId="3468FC42" w14:textId="77777777" w:rsidR="00291AAD" w:rsidRPr="006B7BDD" w:rsidRDefault="00291AAD" w:rsidP="00F2738E">
            <w:pPr>
              <w:jc w:val="center"/>
            </w:pPr>
            <w:r w:rsidRPr="006B7BDD">
              <w:t>Medium</w:t>
            </w:r>
          </w:p>
        </w:tc>
        <w:tc>
          <w:tcPr>
            <w:tcW w:w="1697" w:type="dxa"/>
            <w:tcBorders>
              <w:left w:val="single" w:sz="18" w:space="0" w:color="auto"/>
              <w:bottom w:val="single" w:sz="4" w:space="0" w:color="auto"/>
            </w:tcBorders>
            <w:shd w:val="clear" w:color="auto" w:fill="FFC000"/>
          </w:tcPr>
          <w:p w14:paraId="3AA24240" w14:textId="77777777" w:rsidR="00291AAD" w:rsidRPr="006B7BDD" w:rsidRDefault="00291AAD" w:rsidP="00F2738E">
            <w:pPr>
              <w:jc w:val="center"/>
            </w:pPr>
            <w:r w:rsidRPr="006B7BDD">
              <w:t>15</w:t>
            </w:r>
          </w:p>
          <w:p w14:paraId="7DD455A8" w14:textId="77777777" w:rsidR="00291AAD" w:rsidRPr="006B7BDD" w:rsidRDefault="00291AAD" w:rsidP="00F2738E">
            <w:pPr>
              <w:jc w:val="center"/>
            </w:pPr>
            <w:r w:rsidRPr="006B7BDD">
              <w:t>High</w:t>
            </w:r>
          </w:p>
        </w:tc>
        <w:tc>
          <w:tcPr>
            <w:tcW w:w="1431" w:type="dxa"/>
            <w:tcBorders>
              <w:bottom w:val="single" w:sz="4" w:space="0" w:color="auto"/>
            </w:tcBorders>
            <w:shd w:val="clear" w:color="auto" w:fill="FF0000"/>
          </w:tcPr>
          <w:p w14:paraId="55E70803" w14:textId="77777777" w:rsidR="00291AAD" w:rsidRPr="006B7BDD" w:rsidRDefault="00291AAD" w:rsidP="00F2738E">
            <w:pPr>
              <w:jc w:val="center"/>
            </w:pPr>
            <w:r w:rsidRPr="006B7BDD">
              <w:t>20</w:t>
            </w:r>
          </w:p>
          <w:p w14:paraId="1B2B5035" w14:textId="77777777" w:rsidR="00291AAD" w:rsidRPr="006B7BDD" w:rsidRDefault="00291AAD" w:rsidP="00F2738E">
            <w:pPr>
              <w:jc w:val="center"/>
            </w:pPr>
            <w:r w:rsidRPr="006B7BDD">
              <w:t>Very High</w:t>
            </w:r>
          </w:p>
        </w:tc>
        <w:tc>
          <w:tcPr>
            <w:tcW w:w="1492" w:type="dxa"/>
            <w:shd w:val="clear" w:color="auto" w:fill="FF0000"/>
          </w:tcPr>
          <w:p w14:paraId="67B0B10E" w14:textId="77777777" w:rsidR="00291AAD" w:rsidRPr="006B7BDD" w:rsidRDefault="00291AAD" w:rsidP="00F2738E">
            <w:pPr>
              <w:jc w:val="center"/>
            </w:pPr>
            <w:r w:rsidRPr="006B7BDD">
              <w:t>25</w:t>
            </w:r>
          </w:p>
          <w:p w14:paraId="008561F2" w14:textId="77777777" w:rsidR="00291AAD" w:rsidRPr="006B7BDD" w:rsidRDefault="00291AAD" w:rsidP="00F2738E">
            <w:pPr>
              <w:jc w:val="center"/>
            </w:pPr>
            <w:r w:rsidRPr="006B7BDD">
              <w:t>Very High</w:t>
            </w:r>
          </w:p>
        </w:tc>
      </w:tr>
      <w:tr w:rsidR="00291AAD" w:rsidRPr="006B7BDD" w14:paraId="6AF03520" w14:textId="77777777" w:rsidTr="00F2738E">
        <w:trPr>
          <w:trHeight w:val="318"/>
        </w:trPr>
        <w:tc>
          <w:tcPr>
            <w:tcW w:w="790" w:type="dxa"/>
            <w:vMerge/>
            <w:tcBorders>
              <w:right w:val="single" w:sz="2" w:space="0" w:color="auto"/>
            </w:tcBorders>
          </w:tcPr>
          <w:p w14:paraId="02588152" w14:textId="77777777" w:rsidR="00291AAD" w:rsidRPr="006B7BDD" w:rsidRDefault="00291AAD" w:rsidP="00F2738E"/>
        </w:tc>
        <w:tc>
          <w:tcPr>
            <w:tcW w:w="1294" w:type="dxa"/>
            <w:tcBorders>
              <w:top w:val="single" w:sz="2" w:space="0" w:color="auto"/>
              <w:left w:val="single" w:sz="2" w:space="0" w:color="auto"/>
              <w:bottom w:val="single" w:sz="2" w:space="0" w:color="auto"/>
              <w:right w:val="single" w:sz="2" w:space="0" w:color="auto"/>
            </w:tcBorders>
            <w:shd w:val="clear" w:color="auto" w:fill="7030A0"/>
          </w:tcPr>
          <w:p w14:paraId="1865EACA" w14:textId="77777777" w:rsidR="00291AAD" w:rsidRPr="006B7BDD" w:rsidRDefault="00291AAD" w:rsidP="00F2738E">
            <w:pPr>
              <w:rPr>
                <w:b/>
                <w:bCs/>
                <w:color w:val="FFFFFF" w:themeColor="background1"/>
              </w:rPr>
            </w:pPr>
            <w:r w:rsidRPr="006B7BDD">
              <w:rPr>
                <w:b/>
                <w:bCs/>
                <w:color w:val="FFFFFF" w:themeColor="background1"/>
              </w:rPr>
              <w:t>4. High</w:t>
            </w:r>
          </w:p>
        </w:tc>
        <w:tc>
          <w:tcPr>
            <w:tcW w:w="1432" w:type="dxa"/>
            <w:tcBorders>
              <w:left w:val="single" w:sz="2" w:space="0" w:color="auto"/>
            </w:tcBorders>
            <w:shd w:val="clear" w:color="auto" w:fill="00B0F0"/>
          </w:tcPr>
          <w:p w14:paraId="18ED07DD" w14:textId="77777777" w:rsidR="00291AAD" w:rsidRPr="006B7BDD" w:rsidRDefault="00291AAD" w:rsidP="00F2738E">
            <w:pPr>
              <w:jc w:val="center"/>
            </w:pPr>
            <w:r w:rsidRPr="006B7BDD">
              <w:t>4</w:t>
            </w:r>
          </w:p>
          <w:p w14:paraId="58536C28" w14:textId="77777777" w:rsidR="00291AAD" w:rsidRPr="006B7BDD" w:rsidRDefault="00291AAD" w:rsidP="00F2738E">
            <w:pPr>
              <w:jc w:val="center"/>
            </w:pPr>
            <w:r w:rsidRPr="006B7BDD">
              <w:t>Low</w:t>
            </w:r>
          </w:p>
        </w:tc>
        <w:tc>
          <w:tcPr>
            <w:tcW w:w="1617" w:type="dxa"/>
            <w:tcBorders>
              <w:right w:val="single" w:sz="18" w:space="0" w:color="auto"/>
            </w:tcBorders>
            <w:shd w:val="clear" w:color="auto" w:fill="FFFF00"/>
          </w:tcPr>
          <w:p w14:paraId="13692BF0" w14:textId="77777777" w:rsidR="00291AAD" w:rsidRPr="006B7BDD" w:rsidRDefault="00291AAD" w:rsidP="00F2738E">
            <w:pPr>
              <w:jc w:val="center"/>
            </w:pPr>
            <w:r w:rsidRPr="006B7BDD">
              <w:t>8</w:t>
            </w:r>
          </w:p>
          <w:p w14:paraId="44C75979" w14:textId="77777777" w:rsidR="00291AAD" w:rsidRPr="006B7BDD" w:rsidRDefault="00291AAD" w:rsidP="00F2738E">
            <w:pPr>
              <w:jc w:val="center"/>
            </w:pPr>
            <w:r w:rsidRPr="006B7BDD">
              <w:t>Medium</w:t>
            </w:r>
          </w:p>
        </w:tc>
        <w:tc>
          <w:tcPr>
            <w:tcW w:w="1697" w:type="dxa"/>
            <w:tcBorders>
              <w:top w:val="nil"/>
              <w:left w:val="single" w:sz="18" w:space="0" w:color="auto"/>
              <w:bottom w:val="single" w:sz="18" w:space="0" w:color="auto"/>
              <w:right w:val="single" w:sz="4" w:space="0" w:color="auto"/>
            </w:tcBorders>
            <w:shd w:val="clear" w:color="auto" w:fill="FFC000"/>
          </w:tcPr>
          <w:p w14:paraId="2EC05525" w14:textId="77777777" w:rsidR="00291AAD" w:rsidRPr="006B7BDD" w:rsidRDefault="00291AAD" w:rsidP="00F2738E">
            <w:pPr>
              <w:jc w:val="center"/>
            </w:pPr>
            <w:r w:rsidRPr="006B7BDD">
              <w:t>12</w:t>
            </w:r>
          </w:p>
          <w:p w14:paraId="238F2C48" w14:textId="77777777" w:rsidR="00291AAD" w:rsidRPr="006B7BDD" w:rsidRDefault="00291AAD" w:rsidP="00F2738E">
            <w:pPr>
              <w:jc w:val="center"/>
            </w:pPr>
            <w:r w:rsidRPr="006B7BDD">
              <w:t>High</w:t>
            </w:r>
          </w:p>
        </w:tc>
        <w:tc>
          <w:tcPr>
            <w:tcW w:w="1431" w:type="dxa"/>
            <w:tcBorders>
              <w:left w:val="single" w:sz="4" w:space="0" w:color="auto"/>
              <w:bottom w:val="single" w:sz="4" w:space="0" w:color="auto"/>
            </w:tcBorders>
            <w:shd w:val="clear" w:color="auto" w:fill="FFC000"/>
          </w:tcPr>
          <w:p w14:paraId="46A296B4" w14:textId="77777777" w:rsidR="00291AAD" w:rsidRPr="006B7BDD" w:rsidRDefault="00291AAD" w:rsidP="00F2738E">
            <w:pPr>
              <w:jc w:val="center"/>
            </w:pPr>
            <w:r w:rsidRPr="006B7BDD">
              <w:t>16</w:t>
            </w:r>
          </w:p>
          <w:p w14:paraId="667C5B58" w14:textId="77777777" w:rsidR="00291AAD" w:rsidRPr="006B7BDD" w:rsidRDefault="00291AAD" w:rsidP="00F2738E">
            <w:pPr>
              <w:jc w:val="center"/>
            </w:pPr>
            <w:r w:rsidRPr="006B7BDD">
              <w:t>High</w:t>
            </w:r>
          </w:p>
        </w:tc>
        <w:tc>
          <w:tcPr>
            <w:tcW w:w="1492" w:type="dxa"/>
            <w:tcBorders>
              <w:bottom w:val="single" w:sz="4" w:space="0" w:color="auto"/>
            </w:tcBorders>
            <w:shd w:val="clear" w:color="auto" w:fill="FF0000"/>
          </w:tcPr>
          <w:p w14:paraId="4BC924A5" w14:textId="77777777" w:rsidR="00291AAD" w:rsidRPr="006B7BDD" w:rsidRDefault="00291AAD" w:rsidP="00F2738E">
            <w:pPr>
              <w:jc w:val="center"/>
            </w:pPr>
            <w:r w:rsidRPr="006B7BDD">
              <w:t>20</w:t>
            </w:r>
          </w:p>
          <w:p w14:paraId="7E8FBA6F" w14:textId="77777777" w:rsidR="00291AAD" w:rsidRPr="006B7BDD" w:rsidRDefault="00291AAD" w:rsidP="00F2738E">
            <w:pPr>
              <w:jc w:val="center"/>
            </w:pPr>
            <w:r w:rsidRPr="006B7BDD">
              <w:t>Very High</w:t>
            </w:r>
          </w:p>
        </w:tc>
      </w:tr>
      <w:tr w:rsidR="00291AAD" w:rsidRPr="006B7BDD" w14:paraId="70820862" w14:textId="77777777" w:rsidTr="00F2738E">
        <w:trPr>
          <w:trHeight w:val="310"/>
        </w:trPr>
        <w:tc>
          <w:tcPr>
            <w:tcW w:w="790" w:type="dxa"/>
            <w:vMerge/>
            <w:tcBorders>
              <w:right w:val="single" w:sz="2" w:space="0" w:color="auto"/>
            </w:tcBorders>
          </w:tcPr>
          <w:p w14:paraId="1C32EFC2" w14:textId="77777777" w:rsidR="00291AAD" w:rsidRPr="006B7BDD" w:rsidRDefault="00291AAD" w:rsidP="00F2738E"/>
        </w:tc>
        <w:tc>
          <w:tcPr>
            <w:tcW w:w="1294" w:type="dxa"/>
            <w:tcBorders>
              <w:top w:val="single" w:sz="2" w:space="0" w:color="auto"/>
              <w:left w:val="single" w:sz="2" w:space="0" w:color="auto"/>
              <w:bottom w:val="single" w:sz="2" w:space="0" w:color="auto"/>
              <w:right w:val="single" w:sz="2" w:space="0" w:color="auto"/>
            </w:tcBorders>
            <w:shd w:val="clear" w:color="auto" w:fill="7030A0"/>
          </w:tcPr>
          <w:p w14:paraId="6924A4F0" w14:textId="77777777" w:rsidR="00291AAD" w:rsidRPr="006B7BDD" w:rsidRDefault="00291AAD" w:rsidP="00F2738E">
            <w:pPr>
              <w:rPr>
                <w:b/>
                <w:bCs/>
                <w:color w:val="FFFFFF" w:themeColor="background1"/>
              </w:rPr>
            </w:pPr>
            <w:r w:rsidRPr="006B7BDD">
              <w:rPr>
                <w:b/>
                <w:bCs/>
                <w:color w:val="FFFFFF" w:themeColor="background1"/>
              </w:rPr>
              <w:t>3. Medium</w:t>
            </w:r>
          </w:p>
        </w:tc>
        <w:tc>
          <w:tcPr>
            <w:tcW w:w="1432" w:type="dxa"/>
            <w:tcBorders>
              <w:left w:val="single" w:sz="2" w:space="0" w:color="auto"/>
            </w:tcBorders>
            <w:shd w:val="clear" w:color="auto" w:fill="00B0F0"/>
          </w:tcPr>
          <w:p w14:paraId="3DD8859F" w14:textId="77777777" w:rsidR="00291AAD" w:rsidRPr="006B7BDD" w:rsidRDefault="00291AAD" w:rsidP="00F2738E">
            <w:pPr>
              <w:jc w:val="center"/>
            </w:pPr>
            <w:r w:rsidRPr="006B7BDD">
              <w:t>3</w:t>
            </w:r>
          </w:p>
          <w:p w14:paraId="368AF6F5" w14:textId="77777777" w:rsidR="00291AAD" w:rsidRPr="006B7BDD" w:rsidRDefault="00291AAD" w:rsidP="00F2738E">
            <w:pPr>
              <w:jc w:val="center"/>
            </w:pPr>
            <w:r w:rsidRPr="006B7BDD">
              <w:t>Low</w:t>
            </w:r>
          </w:p>
        </w:tc>
        <w:tc>
          <w:tcPr>
            <w:tcW w:w="1617" w:type="dxa"/>
            <w:shd w:val="clear" w:color="auto" w:fill="FFFF00"/>
          </w:tcPr>
          <w:p w14:paraId="0C30F8D0" w14:textId="77777777" w:rsidR="00291AAD" w:rsidRPr="006B7BDD" w:rsidRDefault="00291AAD" w:rsidP="00F2738E">
            <w:pPr>
              <w:jc w:val="center"/>
            </w:pPr>
            <w:r w:rsidRPr="006B7BDD">
              <w:t>6</w:t>
            </w:r>
          </w:p>
          <w:p w14:paraId="4DC5F4F1" w14:textId="77777777" w:rsidR="00291AAD" w:rsidRPr="006B7BDD" w:rsidRDefault="00291AAD" w:rsidP="00F2738E">
            <w:pPr>
              <w:jc w:val="center"/>
            </w:pPr>
            <w:r w:rsidRPr="006B7BDD">
              <w:t>Medium</w:t>
            </w:r>
          </w:p>
        </w:tc>
        <w:tc>
          <w:tcPr>
            <w:tcW w:w="1697" w:type="dxa"/>
            <w:tcBorders>
              <w:top w:val="single" w:sz="18" w:space="0" w:color="auto"/>
              <w:right w:val="single" w:sz="18" w:space="0" w:color="auto"/>
            </w:tcBorders>
            <w:shd w:val="clear" w:color="auto" w:fill="FFFF00"/>
          </w:tcPr>
          <w:p w14:paraId="3E528FED" w14:textId="77777777" w:rsidR="00291AAD" w:rsidRPr="006B7BDD" w:rsidRDefault="00291AAD" w:rsidP="00F2738E">
            <w:pPr>
              <w:jc w:val="center"/>
            </w:pPr>
            <w:r w:rsidRPr="006B7BDD">
              <w:t>9</w:t>
            </w:r>
          </w:p>
          <w:p w14:paraId="006850CB" w14:textId="77777777" w:rsidR="00291AAD" w:rsidRPr="006B7BDD" w:rsidRDefault="00291AAD" w:rsidP="00F2738E">
            <w:pPr>
              <w:jc w:val="center"/>
            </w:pPr>
            <w:r w:rsidRPr="006B7BDD">
              <w:t>Medium</w:t>
            </w:r>
          </w:p>
        </w:tc>
        <w:tc>
          <w:tcPr>
            <w:tcW w:w="1431" w:type="dxa"/>
            <w:tcBorders>
              <w:top w:val="single" w:sz="4" w:space="0" w:color="auto"/>
              <w:left w:val="single" w:sz="18" w:space="0" w:color="auto"/>
              <w:bottom w:val="single" w:sz="18" w:space="0" w:color="auto"/>
              <w:right w:val="single" w:sz="4" w:space="0" w:color="auto"/>
            </w:tcBorders>
            <w:shd w:val="clear" w:color="auto" w:fill="FFC000"/>
          </w:tcPr>
          <w:p w14:paraId="3CF0191E" w14:textId="77777777" w:rsidR="00291AAD" w:rsidRPr="006B7BDD" w:rsidRDefault="00291AAD" w:rsidP="00F2738E">
            <w:pPr>
              <w:jc w:val="center"/>
            </w:pPr>
            <w:r w:rsidRPr="006B7BDD">
              <w:t>12</w:t>
            </w:r>
          </w:p>
          <w:p w14:paraId="62007588" w14:textId="77777777" w:rsidR="00291AAD" w:rsidRPr="006B7BDD" w:rsidRDefault="00291AAD" w:rsidP="00F2738E">
            <w:pPr>
              <w:jc w:val="center"/>
            </w:pPr>
            <w:r w:rsidRPr="006B7BDD">
              <w:t>High</w:t>
            </w:r>
          </w:p>
        </w:tc>
        <w:tc>
          <w:tcPr>
            <w:tcW w:w="1492" w:type="dxa"/>
            <w:tcBorders>
              <w:left w:val="single" w:sz="4" w:space="0" w:color="auto"/>
              <w:bottom w:val="single" w:sz="18" w:space="0" w:color="auto"/>
            </w:tcBorders>
            <w:shd w:val="clear" w:color="auto" w:fill="FFC000"/>
          </w:tcPr>
          <w:p w14:paraId="46A9BE45" w14:textId="77777777" w:rsidR="00291AAD" w:rsidRPr="006B7BDD" w:rsidRDefault="00291AAD" w:rsidP="00F2738E">
            <w:pPr>
              <w:jc w:val="center"/>
            </w:pPr>
            <w:r w:rsidRPr="006B7BDD">
              <w:t>15</w:t>
            </w:r>
          </w:p>
          <w:p w14:paraId="78F52B10" w14:textId="77777777" w:rsidR="00291AAD" w:rsidRPr="006B7BDD" w:rsidRDefault="00291AAD" w:rsidP="00F2738E">
            <w:pPr>
              <w:jc w:val="center"/>
            </w:pPr>
            <w:r w:rsidRPr="006B7BDD">
              <w:t>High</w:t>
            </w:r>
          </w:p>
        </w:tc>
      </w:tr>
      <w:tr w:rsidR="00291AAD" w:rsidRPr="006B7BDD" w14:paraId="2862F23D" w14:textId="77777777" w:rsidTr="00F2738E">
        <w:trPr>
          <w:trHeight w:val="310"/>
        </w:trPr>
        <w:tc>
          <w:tcPr>
            <w:tcW w:w="790" w:type="dxa"/>
            <w:vMerge/>
          </w:tcPr>
          <w:p w14:paraId="4788964E" w14:textId="77777777" w:rsidR="00291AAD" w:rsidRPr="006B7BDD" w:rsidRDefault="00291AAD" w:rsidP="00F2738E"/>
        </w:tc>
        <w:tc>
          <w:tcPr>
            <w:tcW w:w="1294" w:type="dxa"/>
            <w:tcBorders>
              <w:top w:val="single" w:sz="2" w:space="0" w:color="auto"/>
            </w:tcBorders>
            <w:shd w:val="clear" w:color="auto" w:fill="7030A0"/>
          </w:tcPr>
          <w:p w14:paraId="5DFB0E2B" w14:textId="77777777" w:rsidR="00291AAD" w:rsidRPr="006B7BDD" w:rsidRDefault="00291AAD" w:rsidP="00F2738E">
            <w:pPr>
              <w:rPr>
                <w:b/>
                <w:bCs/>
                <w:color w:val="FFFFFF" w:themeColor="background1"/>
              </w:rPr>
            </w:pPr>
            <w:r w:rsidRPr="006B7BDD">
              <w:rPr>
                <w:b/>
                <w:bCs/>
                <w:color w:val="FFFFFF" w:themeColor="background1"/>
              </w:rPr>
              <w:t>2. Low</w:t>
            </w:r>
          </w:p>
        </w:tc>
        <w:tc>
          <w:tcPr>
            <w:tcW w:w="1432" w:type="dxa"/>
            <w:shd w:val="clear" w:color="auto" w:fill="92D050"/>
          </w:tcPr>
          <w:p w14:paraId="035B6DAD" w14:textId="77777777" w:rsidR="00291AAD" w:rsidRPr="006B7BDD" w:rsidRDefault="00291AAD" w:rsidP="00F2738E">
            <w:pPr>
              <w:jc w:val="center"/>
            </w:pPr>
            <w:r w:rsidRPr="006B7BDD">
              <w:t>2</w:t>
            </w:r>
          </w:p>
          <w:p w14:paraId="658B4875" w14:textId="77777777" w:rsidR="00291AAD" w:rsidRPr="006B7BDD" w:rsidRDefault="00291AAD" w:rsidP="00F2738E">
            <w:pPr>
              <w:jc w:val="center"/>
            </w:pPr>
            <w:r w:rsidRPr="006B7BDD">
              <w:t>Very Low</w:t>
            </w:r>
          </w:p>
        </w:tc>
        <w:tc>
          <w:tcPr>
            <w:tcW w:w="1617" w:type="dxa"/>
            <w:shd w:val="clear" w:color="auto" w:fill="00B0F0"/>
          </w:tcPr>
          <w:p w14:paraId="2B679CB4" w14:textId="77777777" w:rsidR="00291AAD" w:rsidRPr="006B7BDD" w:rsidRDefault="00291AAD" w:rsidP="00F2738E">
            <w:pPr>
              <w:jc w:val="center"/>
            </w:pPr>
            <w:r w:rsidRPr="006B7BDD">
              <w:t>4</w:t>
            </w:r>
          </w:p>
          <w:p w14:paraId="40F363F5" w14:textId="77777777" w:rsidR="00291AAD" w:rsidRPr="006B7BDD" w:rsidRDefault="00291AAD" w:rsidP="00F2738E">
            <w:pPr>
              <w:jc w:val="center"/>
            </w:pPr>
            <w:r w:rsidRPr="006B7BDD">
              <w:t>Low</w:t>
            </w:r>
          </w:p>
        </w:tc>
        <w:tc>
          <w:tcPr>
            <w:tcW w:w="1697" w:type="dxa"/>
            <w:shd w:val="clear" w:color="auto" w:fill="FFFF00"/>
          </w:tcPr>
          <w:p w14:paraId="544E7B2E" w14:textId="77777777" w:rsidR="00291AAD" w:rsidRPr="006B7BDD" w:rsidRDefault="00291AAD" w:rsidP="00F2738E">
            <w:pPr>
              <w:jc w:val="center"/>
            </w:pPr>
            <w:r w:rsidRPr="006B7BDD">
              <w:t>6</w:t>
            </w:r>
          </w:p>
          <w:p w14:paraId="61D870FF" w14:textId="77777777" w:rsidR="00291AAD" w:rsidRPr="006B7BDD" w:rsidRDefault="00291AAD" w:rsidP="00F2738E">
            <w:pPr>
              <w:jc w:val="center"/>
            </w:pPr>
            <w:r w:rsidRPr="006B7BDD">
              <w:t>Medium</w:t>
            </w:r>
          </w:p>
        </w:tc>
        <w:tc>
          <w:tcPr>
            <w:tcW w:w="1431" w:type="dxa"/>
            <w:tcBorders>
              <w:top w:val="single" w:sz="18" w:space="0" w:color="auto"/>
              <w:right w:val="single" w:sz="2" w:space="0" w:color="auto"/>
            </w:tcBorders>
            <w:shd w:val="clear" w:color="auto" w:fill="FFFF00"/>
          </w:tcPr>
          <w:p w14:paraId="4773C5F2" w14:textId="77777777" w:rsidR="00291AAD" w:rsidRPr="006B7BDD" w:rsidRDefault="00291AAD" w:rsidP="00F2738E">
            <w:pPr>
              <w:jc w:val="center"/>
            </w:pPr>
            <w:r w:rsidRPr="006B7BDD">
              <w:t>8</w:t>
            </w:r>
          </w:p>
          <w:p w14:paraId="3F7DB08D" w14:textId="77777777" w:rsidR="00291AAD" w:rsidRPr="006B7BDD" w:rsidRDefault="00291AAD" w:rsidP="00F2738E">
            <w:pPr>
              <w:jc w:val="center"/>
            </w:pPr>
            <w:r w:rsidRPr="006B7BDD">
              <w:t>Medium</w:t>
            </w:r>
          </w:p>
        </w:tc>
        <w:tc>
          <w:tcPr>
            <w:tcW w:w="1492" w:type="dxa"/>
            <w:tcBorders>
              <w:top w:val="single" w:sz="18" w:space="0" w:color="auto"/>
              <w:left w:val="single" w:sz="2" w:space="0" w:color="auto"/>
              <w:bottom w:val="single" w:sz="2" w:space="0" w:color="auto"/>
            </w:tcBorders>
            <w:shd w:val="clear" w:color="auto" w:fill="FFFF00"/>
          </w:tcPr>
          <w:p w14:paraId="53EAF0AE" w14:textId="77777777" w:rsidR="00291AAD" w:rsidRPr="006B7BDD" w:rsidRDefault="00291AAD" w:rsidP="00F2738E">
            <w:pPr>
              <w:jc w:val="center"/>
            </w:pPr>
            <w:r w:rsidRPr="006B7BDD">
              <w:t>10</w:t>
            </w:r>
          </w:p>
          <w:p w14:paraId="77202CC8" w14:textId="77777777" w:rsidR="00291AAD" w:rsidRPr="006B7BDD" w:rsidRDefault="00291AAD" w:rsidP="00F2738E">
            <w:pPr>
              <w:jc w:val="center"/>
            </w:pPr>
            <w:r w:rsidRPr="006B7BDD">
              <w:t>Medium</w:t>
            </w:r>
          </w:p>
        </w:tc>
      </w:tr>
      <w:tr w:rsidR="00291AAD" w:rsidRPr="006B7BDD" w14:paraId="443F3E34" w14:textId="77777777" w:rsidTr="00F2738E">
        <w:trPr>
          <w:trHeight w:val="318"/>
        </w:trPr>
        <w:tc>
          <w:tcPr>
            <w:tcW w:w="790" w:type="dxa"/>
            <w:vMerge/>
          </w:tcPr>
          <w:p w14:paraId="76F3D21E" w14:textId="77777777" w:rsidR="00291AAD" w:rsidRPr="006B7BDD" w:rsidRDefault="00291AAD" w:rsidP="00F2738E"/>
        </w:tc>
        <w:tc>
          <w:tcPr>
            <w:tcW w:w="1294" w:type="dxa"/>
            <w:shd w:val="clear" w:color="auto" w:fill="7030A0"/>
          </w:tcPr>
          <w:p w14:paraId="02D0BF70" w14:textId="77777777" w:rsidR="00291AAD" w:rsidRPr="006B7BDD" w:rsidRDefault="00291AAD" w:rsidP="00F2738E">
            <w:pPr>
              <w:rPr>
                <w:b/>
                <w:bCs/>
                <w:color w:val="FFFFFF" w:themeColor="background1"/>
              </w:rPr>
            </w:pPr>
            <w:r w:rsidRPr="006B7BDD">
              <w:rPr>
                <w:b/>
                <w:bCs/>
                <w:color w:val="FFFFFF" w:themeColor="background1"/>
              </w:rPr>
              <w:t>1.Very Low</w:t>
            </w:r>
          </w:p>
        </w:tc>
        <w:tc>
          <w:tcPr>
            <w:tcW w:w="1432" w:type="dxa"/>
            <w:shd w:val="clear" w:color="auto" w:fill="92D050"/>
          </w:tcPr>
          <w:p w14:paraId="1D4CECF4" w14:textId="77777777" w:rsidR="00291AAD" w:rsidRPr="006B7BDD" w:rsidRDefault="00291AAD" w:rsidP="00F2738E">
            <w:pPr>
              <w:jc w:val="center"/>
            </w:pPr>
            <w:r w:rsidRPr="006B7BDD">
              <w:t>1</w:t>
            </w:r>
          </w:p>
          <w:p w14:paraId="2B2B0823" w14:textId="77777777" w:rsidR="00291AAD" w:rsidRPr="006B7BDD" w:rsidRDefault="00291AAD" w:rsidP="00F2738E">
            <w:pPr>
              <w:jc w:val="center"/>
            </w:pPr>
            <w:r w:rsidRPr="006B7BDD">
              <w:t>Very Low</w:t>
            </w:r>
          </w:p>
        </w:tc>
        <w:tc>
          <w:tcPr>
            <w:tcW w:w="1617" w:type="dxa"/>
            <w:shd w:val="clear" w:color="auto" w:fill="92D050"/>
          </w:tcPr>
          <w:p w14:paraId="2CE3F9BD" w14:textId="77777777" w:rsidR="00291AAD" w:rsidRPr="006B7BDD" w:rsidRDefault="00291AAD" w:rsidP="00F2738E">
            <w:pPr>
              <w:jc w:val="center"/>
            </w:pPr>
            <w:r w:rsidRPr="006B7BDD">
              <w:t>2</w:t>
            </w:r>
          </w:p>
          <w:p w14:paraId="40F08507" w14:textId="77777777" w:rsidR="00291AAD" w:rsidRPr="006B7BDD" w:rsidRDefault="00291AAD" w:rsidP="00F2738E">
            <w:pPr>
              <w:jc w:val="center"/>
            </w:pPr>
            <w:r w:rsidRPr="006B7BDD">
              <w:t>Very Low</w:t>
            </w:r>
          </w:p>
        </w:tc>
        <w:tc>
          <w:tcPr>
            <w:tcW w:w="1697" w:type="dxa"/>
            <w:shd w:val="clear" w:color="auto" w:fill="00B0F0"/>
          </w:tcPr>
          <w:p w14:paraId="662C2E50" w14:textId="77777777" w:rsidR="00291AAD" w:rsidRPr="006B7BDD" w:rsidRDefault="00291AAD" w:rsidP="00F2738E">
            <w:pPr>
              <w:jc w:val="center"/>
            </w:pPr>
            <w:r w:rsidRPr="006B7BDD">
              <w:t>3</w:t>
            </w:r>
          </w:p>
          <w:p w14:paraId="47F9ABEC" w14:textId="77777777" w:rsidR="00291AAD" w:rsidRPr="006B7BDD" w:rsidRDefault="00291AAD" w:rsidP="00F2738E">
            <w:pPr>
              <w:jc w:val="center"/>
            </w:pPr>
            <w:r w:rsidRPr="006B7BDD">
              <w:t>Low</w:t>
            </w:r>
          </w:p>
        </w:tc>
        <w:tc>
          <w:tcPr>
            <w:tcW w:w="1431" w:type="dxa"/>
            <w:shd w:val="clear" w:color="auto" w:fill="00B0F0"/>
          </w:tcPr>
          <w:p w14:paraId="5045560C" w14:textId="77777777" w:rsidR="00291AAD" w:rsidRPr="006B7BDD" w:rsidRDefault="00291AAD" w:rsidP="00F2738E">
            <w:pPr>
              <w:jc w:val="center"/>
            </w:pPr>
            <w:r w:rsidRPr="006B7BDD">
              <w:t>4</w:t>
            </w:r>
          </w:p>
          <w:p w14:paraId="0F02F7FC" w14:textId="77777777" w:rsidR="00291AAD" w:rsidRPr="006B7BDD" w:rsidRDefault="00291AAD" w:rsidP="00F2738E">
            <w:pPr>
              <w:jc w:val="center"/>
            </w:pPr>
            <w:r w:rsidRPr="006B7BDD">
              <w:t>Low</w:t>
            </w:r>
          </w:p>
        </w:tc>
        <w:tc>
          <w:tcPr>
            <w:tcW w:w="1492" w:type="dxa"/>
            <w:tcBorders>
              <w:top w:val="single" w:sz="2" w:space="0" w:color="auto"/>
            </w:tcBorders>
            <w:shd w:val="clear" w:color="auto" w:fill="FFFF00"/>
          </w:tcPr>
          <w:p w14:paraId="7FF0280E" w14:textId="77777777" w:rsidR="00291AAD" w:rsidRPr="006B7BDD" w:rsidRDefault="00291AAD" w:rsidP="00F2738E">
            <w:pPr>
              <w:jc w:val="center"/>
            </w:pPr>
            <w:r w:rsidRPr="006B7BDD">
              <w:t>5</w:t>
            </w:r>
          </w:p>
          <w:p w14:paraId="3B3D930D" w14:textId="77777777" w:rsidR="00291AAD" w:rsidRPr="006B7BDD" w:rsidRDefault="00291AAD" w:rsidP="00F2738E">
            <w:pPr>
              <w:jc w:val="center"/>
            </w:pPr>
            <w:r w:rsidRPr="006B7BDD">
              <w:t>Medium</w:t>
            </w:r>
          </w:p>
        </w:tc>
      </w:tr>
      <w:tr w:rsidR="00291AAD" w:rsidRPr="006B7BDD" w14:paraId="0804156A" w14:textId="77777777" w:rsidTr="00F2738E">
        <w:trPr>
          <w:trHeight w:val="397"/>
        </w:trPr>
        <w:tc>
          <w:tcPr>
            <w:tcW w:w="9757" w:type="dxa"/>
            <w:gridSpan w:val="7"/>
            <w:shd w:val="clear" w:color="auto" w:fill="25838F"/>
          </w:tcPr>
          <w:p w14:paraId="49421A9F" w14:textId="77777777" w:rsidR="00291AAD" w:rsidRPr="006B7BDD" w:rsidRDefault="00291AAD" w:rsidP="00F2738E">
            <w:pPr>
              <w:jc w:val="center"/>
              <w:rPr>
                <w:b/>
                <w:bCs/>
                <w:color w:val="FFFFFF" w:themeColor="background1"/>
              </w:rPr>
            </w:pPr>
            <w:r w:rsidRPr="006B7BDD">
              <w:rPr>
                <w:b/>
                <w:bCs/>
                <w:color w:val="FFFFFF" w:themeColor="background1"/>
              </w:rPr>
              <w:t>Likelihood</w:t>
            </w:r>
          </w:p>
        </w:tc>
      </w:tr>
      <w:tr w:rsidR="00291AAD" w:rsidRPr="006B7BDD" w14:paraId="342CB1D8" w14:textId="77777777" w:rsidTr="00F2738E">
        <w:trPr>
          <w:trHeight w:val="562"/>
        </w:trPr>
        <w:tc>
          <w:tcPr>
            <w:tcW w:w="2084" w:type="dxa"/>
            <w:gridSpan w:val="2"/>
            <w:shd w:val="clear" w:color="auto" w:fill="7030A0"/>
          </w:tcPr>
          <w:p w14:paraId="1FB63A35" w14:textId="77777777" w:rsidR="00291AAD" w:rsidRPr="006B7BDD" w:rsidRDefault="00291AAD" w:rsidP="00F2738E">
            <w:pPr>
              <w:rPr>
                <w:b/>
                <w:bCs/>
                <w:color w:val="FFFFFF" w:themeColor="background1"/>
              </w:rPr>
            </w:pPr>
            <w:r w:rsidRPr="006B7BDD">
              <w:rPr>
                <w:b/>
                <w:bCs/>
                <w:color w:val="FFFFFF" w:themeColor="background1"/>
              </w:rPr>
              <w:t>Risk score = Impact x Likelihood</w:t>
            </w:r>
          </w:p>
        </w:tc>
        <w:tc>
          <w:tcPr>
            <w:tcW w:w="1432" w:type="dxa"/>
            <w:shd w:val="clear" w:color="auto" w:fill="7030A0"/>
          </w:tcPr>
          <w:p w14:paraId="2CE3CDA9" w14:textId="77777777" w:rsidR="00291AAD" w:rsidRPr="006B7BDD" w:rsidRDefault="00291AAD" w:rsidP="00F2738E">
            <w:pPr>
              <w:rPr>
                <w:b/>
                <w:bCs/>
                <w:color w:val="FFFFFF" w:themeColor="background1"/>
              </w:rPr>
            </w:pPr>
            <w:r w:rsidRPr="006B7BDD">
              <w:rPr>
                <w:b/>
                <w:bCs/>
                <w:color w:val="FFFFFF" w:themeColor="background1"/>
              </w:rPr>
              <w:t>1.Rare</w:t>
            </w:r>
          </w:p>
          <w:p w14:paraId="3A558E08" w14:textId="77777777" w:rsidR="00291AAD" w:rsidRPr="006B7BDD" w:rsidRDefault="00291AAD" w:rsidP="00F2738E">
            <w:pPr>
              <w:rPr>
                <w:b/>
                <w:bCs/>
                <w:color w:val="FFFFFF" w:themeColor="background1"/>
              </w:rPr>
            </w:pPr>
            <w:r w:rsidRPr="006B7BDD">
              <w:rPr>
                <w:b/>
                <w:bCs/>
                <w:color w:val="FFFFFF" w:themeColor="background1"/>
              </w:rPr>
              <w:t>(</w:t>
            </w:r>
            <w:r w:rsidRPr="006B7BDD">
              <w:rPr>
                <w:rFonts w:cstheme="minorHAnsi"/>
                <w:b/>
                <w:bCs/>
                <w:color w:val="FFFFFF" w:themeColor="background1"/>
              </w:rPr>
              <w:t>≤3</w:t>
            </w:r>
            <w:r w:rsidRPr="006B7BDD">
              <w:rPr>
                <w:b/>
                <w:bCs/>
                <w:color w:val="FFFFFF" w:themeColor="background1"/>
              </w:rPr>
              <w:t>%)</w:t>
            </w:r>
          </w:p>
        </w:tc>
        <w:tc>
          <w:tcPr>
            <w:tcW w:w="1617" w:type="dxa"/>
            <w:shd w:val="clear" w:color="auto" w:fill="7030A0"/>
          </w:tcPr>
          <w:p w14:paraId="7F36A73D" w14:textId="77777777" w:rsidR="00291AAD" w:rsidRPr="006B7BDD" w:rsidRDefault="00291AAD" w:rsidP="00F2738E">
            <w:pPr>
              <w:rPr>
                <w:b/>
                <w:bCs/>
                <w:color w:val="FFFFFF" w:themeColor="background1"/>
              </w:rPr>
            </w:pPr>
            <w:r w:rsidRPr="006B7BDD">
              <w:rPr>
                <w:b/>
                <w:bCs/>
                <w:color w:val="FFFFFF" w:themeColor="background1"/>
              </w:rPr>
              <w:t>2.Unlikely</w:t>
            </w:r>
          </w:p>
          <w:p w14:paraId="6EBAC34C" w14:textId="77777777" w:rsidR="00291AAD" w:rsidRPr="006B7BDD" w:rsidRDefault="00291AAD" w:rsidP="00F2738E">
            <w:pPr>
              <w:rPr>
                <w:b/>
                <w:bCs/>
                <w:color w:val="FFFFFF" w:themeColor="background1"/>
              </w:rPr>
            </w:pPr>
            <w:r w:rsidRPr="006B7BDD">
              <w:rPr>
                <w:b/>
                <w:bCs/>
                <w:color w:val="FFFFFF" w:themeColor="background1"/>
              </w:rPr>
              <w:t>(3%-10%)</w:t>
            </w:r>
          </w:p>
        </w:tc>
        <w:tc>
          <w:tcPr>
            <w:tcW w:w="1697" w:type="dxa"/>
            <w:shd w:val="clear" w:color="auto" w:fill="7030A0"/>
          </w:tcPr>
          <w:p w14:paraId="0DE3296F" w14:textId="77777777" w:rsidR="00291AAD" w:rsidRPr="006B7BDD" w:rsidRDefault="00291AAD" w:rsidP="00F2738E">
            <w:pPr>
              <w:rPr>
                <w:b/>
                <w:bCs/>
                <w:color w:val="FFFFFF" w:themeColor="background1"/>
              </w:rPr>
            </w:pPr>
            <w:r w:rsidRPr="006B7BDD">
              <w:rPr>
                <w:b/>
                <w:bCs/>
                <w:color w:val="FFFFFF" w:themeColor="background1"/>
              </w:rPr>
              <w:t>3.Possible</w:t>
            </w:r>
          </w:p>
          <w:p w14:paraId="5EB92D50" w14:textId="77777777" w:rsidR="00291AAD" w:rsidRPr="006B7BDD" w:rsidRDefault="00291AAD" w:rsidP="00F2738E">
            <w:pPr>
              <w:rPr>
                <w:b/>
                <w:bCs/>
                <w:color w:val="FFFFFF" w:themeColor="background1"/>
              </w:rPr>
            </w:pPr>
            <w:r w:rsidRPr="006B7BDD">
              <w:rPr>
                <w:b/>
                <w:bCs/>
                <w:color w:val="FFFFFF" w:themeColor="background1"/>
              </w:rPr>
              <w:t>(10%-50%)</w:t>
            </w:r>
          </w:p>
        </w:tc>
        <w:tc>
          <w:tcPr>
            <w:tcW w:w="1431" w:type="dxa"/>
            <w:shd w:val="clear" w:color="auto" w:fill="7030A0"/>
          </w:tcPr>
          <w:p w14:paraId="010C336D" w14:textId="77777777" w:rsidR="00291AAD" w:rsidRPr="006B7BDD" w:rsidRDefault="00291AAD" w:rsidP="00F2738E">
            <w:pPr>
              <w:rPr>
                <w:b/>
                <w:bCs/>
                <w:color w:val="FFFFFF" w:themeColor="background1"/>
              </w:rPr>
            </w:pPr>
            <w:r w:rsidRPr="006B7BDD">
              <w:rPr>
                <w:b/>
                <w:bCs/>
                <w:color w:val="FFFFFF" w:themeColor="background1"/>
              </w:rPr>
              <w:t>4.Likely</w:t>
            </w:r>
          </w:p>
          <w:p w14:paraId="4C1D9C83" w14:textId="77777777" w:rsidR="00291AAD" w:rsidRPr="006B7BDD" w:rsidRDefault="00291AAD" w:rsidP="00F2738E">
            <w:pPr>
              <w:rPr>
                <w:b/>
                <w:bCs/>
                <w:color w:val="FFFFFF" w:themeColor="background1"/>
              </w:rPr>
            </w:pPr>
            <w:r w:rsidRPr="006B7BDD">
              <w:rPr>
                <w:b/>
                <w:bCs/>
                <w:color w:val="FFFFFF" w:themeColor="background1"/>
              </w:rPr>
              <w:t>(50%-90%)</w:t>
            </w:r>
          </w:p>
        </w:tc>
        <w:tc>
          <w:tcPr>
            <w:tcW w:w="1492" w:type="dxa"/>
            <w:shd w:val="clear" w:color="auto" w:fill="7030A0"/>
          </w:tcPr>
          <w:p w14:paraId="270A251C" w14:textId="77777777" w:rsidR="00291AAD" w:rsidRPr="006B7BDD" w:rsidRDefault="00291AAD" w:rsidP="00F2738E">
            <w:pPr>
              <w:rPr>
                <w:b/>
                <w:bCs/>
                <w:color w:val="FFFFFF" w:themeColor="background1"/>
              </w:rPr>
            </w:pPr>
            <w:r w:rsidRPr="006B7BDD">
              <w:rPr>
                <w:b/>
                <w:bCs/>
                <w:color w:val="FFFFFF" w:themeColor="background1"/>
              </w:rPr>
              <w:t>5.Almost certain</w:t>
            </w:r>
          </w:p>
          <w:p w14:paraId="4B3E681B" w14:textId="77777777" w:rsidR="00291AAD" w:rsidRPr="006B7BDD" w:rsidRDefault="00291AAD" w:rsidP="00F2738E">
            <w:pPr>
              <w:rPr>
                <w:b/>
                <w:bCs/>
                <w:color w:val="FFFFFF" w:themeColor="background1"/>
              </w:rPr>
            </w:pPr>
            <w:r w:rsidRPr="006B7BDD">
              <w:rPr>
                <w:b/>
                <w:bCs/>
                <w:color w:val="FFFFFF" w:themeColor="background1"/>
              </w:rPr>
              <w:t>(</w:t>
            </w:r>
            <w:r w:rsidRPr="006B7BDD">
              <w:rPr>
                <w:rFonts w:cstheme="minorHAnsi"/>
                <w:b/>
                <w:bCs/>
                <w:color w:val="FFFFFF" w:themeColor="background1"/>
              </w:rPr>
              <w:t>≥</w:t>
            </w:r>
            <w:r w:rsidRPr="006B7BDD">
              <w:rPr>
                <w:b/>
                <w:bCs/>
                <w:color w:val="FFFFFF" w:themeColor="background1"/>
              </w:rPr>
              <w:t>90%)</w:t>
            </w:r>
          </w:p>
        </w:tc>
      </w:tr>
    </w:tbl>
    <w:p w14:paraId="31AF83BC" w14:textId="77777777" w:rsidR="00291AAD" w:rsidRPr="006B7BDD" w:rsidRDefault="00291AAD" w:rsidP="00291AAD">
      <w:pPr>
        <w:pStyle w:val="Heading3"/>
        <w:rPr>
          <w:rFonts w:eastAsia="Calibri"/>
          <w:lang w:eastAsia="en-US"/>
        </w:rPr>
      </w:pPr>
    </w:p>
    <w:p w14:paraId="355D9C16" w14:textId="77777777" w:rsidR="00291AAD" w:rsidRPr="006B7BDD" w:rsidRDefault="00291AAD" w:rsidP="00291AAD">
      <w:pPr>
        <w:pStyle w:val="Heading3"/>
        <w:rPr>
          <w:rFonts w:eastAsia="Calibri"/>
          <w:lang w:eastAsia="en-US"/>
        </w:rPr>
      </w:pPr>
      <w:r w:rsidRPr="006B7BDD">
        <w:rPr>
          <w:rFonts w:eastAsia="Calibri"/>
          <w:lang w:eastAsia="en-US"/>
        </w:rPr>
        <w:t xml:space="preserve">Risk appetite and tolerance </w:t>
      </w:r>
    </w:p>
    <w:p w14:paraId="6339DB32" w14:textId="77777777" w:rsidR="00291AAD" w:rsidRPr="006B7BDD" w:rsidRDefault="00291AAD" w:rsidP="00291AAD">
      <w:pPr>
        <w:spacing w:before="20" w:after="20" w:line="276" w:lineRule="auto"/>
        <w:rPr>
          <w:rFonts w:eastAsia="Calibri"/>
        </w:rPr>
      </w:pPr>
      <w:r w:rsidRPr="006B7BDD">
        <w:rPr>
          <w:rFonts w:eastAsia="Calibri"/>
        </w:rPr>
        <w:t>Risk appetite and tolerance are two different but related terms. We define risk appetite as the willingness of the HTA to take risk. As a regulator, our risk appetite will be naturally conservative and for most of our history this has been low. Risk appetite is a general statement of the organisation’s overall attitude to risk and is unlike</w:t>
      </w:r>
      <w:r>
        <w:rPr>
          <w:rFonts w:eastAsia="Calibri"/>
        </w:rPr>
        <w:t>ly</w:t>
      </w:r>
      <w:r w:rsidRPr="006B7BDD">
        <w:rPr>
          <w:rFonts w:eastAsia="Calibri"/>
        </w:rPr>
        <w:t xml:space="preserve"> to change unless the organisation’s role or environment changes dramatically.</w:t>
      </w:r>
    </w:p>
    <w:p w14:paraId="3D9AF9E3" w14:textId="77777777" w:rsidR="00291AAD" w:rsidRPr="006B7BDD" w:rsidRDefault="00291AAD" w:rsidP="00291AAD">
      <w:pPr>
        <w:spacing w:before="20" w:after="20" w:line="276" w:lineRule="auto"/>
        <w:rPr>
          <w:rFonts w:eastAsia="Calibri"/>
        </w:rPr>
      </w:pPr>
    </w:p>
    <w:p w14:paraId="7D714271" w14:textId="77777777" w:rsidR="00291AAD" w:rsidRPr="006B7BDD" w:rsidRDefault="00291AAD" w:rsidP="00291AAD">
      <w:pPr>
        <w:spacing w:before="20" w:after="20" w:line="276" w:lineRule="auto"/>
        <w:rPr>
          <w:rFonts w:eastAsia="Calibri"/>
        </w:rPr>
      </w:pPr>
      <w:r w:rsidRPr="006B7BDD">
        <w:rPr>
          <w:rFonts w:eastAsia="Calibri"/>
        </w:rPr>
        <w:t>Risk tolerances are the boundaries for risk taking. The risk appetite statement informs the development of risk tolerances for the HTA and provides guidance on how the risk appetite statement is to be applied in everyday business activities and decisions.</w:t>
      </w:r>
    </w:p>
    <w:p w14:paraId="7D0EE61A" w14:textId="77777777" w:rsidR="00291AAD" w:rsidRPr="006B7BDD" w:rsidRDefault="00291AAD" w:rsidP="00291AAD">
      <w:pPr>
        <w:spacing w:before="20" w:after="20"/>
        <w:rPr>
          <w:rFonts w:eastAsia="Calibri"/>
        </w:rPr>
      </w:pPr>
    </w:p>
    <w:p w14:paraId="3F9E79CB" w14:textId="77777777" w:rsidR="00291AAD" w:rsidRPr="006B7BDD" w:rsidRDefault="00291AAD" w:rsidP="00291AAD">
      <w:pPr>
        <w:pStyle w:val="Heading3"/>
        <w:rPr>
          <w:rFonts w:eastAsia="Calibri"/>
          <w:lang w:eastAsia="en-US"/>
        </w:rPr>
      </w:pPr>
      <w:r w:rsidRPr="006B7BDD">
        <w:rPr>
          <w:rFonts w:eastAsia="Calibri"/>
          <w:lang w:eastAsia="en-US"/>
        </w:rPr>
        <w:t>Assessing inherent risk</w:t>
      </w:r>
    </w:p>
    <w:p w14:paraId="3DB32E72" w14:textId="77777777" w:rsidR="00291AAD" w:rsidRPr="006B7BDD" w:rsidRDefault="00291AAD" w:rsidP="00291AAD">
      <w:pPr>
        <w:spacing w:line="276" w:lineRule="auto"/>
        <w:rPr>
          <w:rFonts w:eastAsia="Calibri"/>
        </w:rPr>
      </w:pPr>
      <w:r w:rsidRPr="14E6FF97">
        <w:rPr>
          <w:rFonts w:eastAsia="Calibri"/>
        </w:rPr>
        <w:t xml:space="preserve">Inherent risk is usually defined as ‘the exposure arising from a specific risk before any action has been taken to manage it.’ This can be taken to mean ‘if no controls at all are in place.’ However, in reality the very existence of an organisational infrastructure and associated general functions, systems and processes introduces some element of control, even if no other mitigating action were ever taken, and even with no risks in mind. Therefore, for our estimation of inherent risk to be meaningful, we define inherent risk as: </w:t>
      </w:r>
    </w:p>
    <w:p w14:paraId="1E09B31E" w14:textId="77777777" w:rsidR="00291AAD" w:rsidRPr="006B7BDD" w:rsidRDefault="00291AAD" w:rsidP="00291AAD">
      <w:pPr>
        <w:spacing w:line="276" w:lineRule="auto"/>
        <w:rPr>
          <w:rFonts w:eastAsia="Calibri"/>
        </w:rPr>
      </w:pPr>
      <w:r w:rsidRPr="14E6FF97">
        <w:rPr>
          <w:rFonts w:eastAsia="Calibri"/>
          <w:i/>
          <w:iCs/>
        </w:rPr>
        <w:t>‘The exposure arising from a specific risk before any additional action has been taken to manage it, over and above pre-existing ongoing organisational systems and processes.</w:t>
      </w:r>
      <w:r w:rsidRPr="14E6FF97">
        <w:rPr>
          <w:rFonts w:eastAsia="Calibri"/>
        </w:rPr>
        <w:t>’</w:t>
      </w:r>
    </w:p>
    <w:p w14:paraId="7529485B" w14:textId="77777777" w:rsidR="00291AAD" w:rsidRPr="006B7BDD" w:rsidRDefault="00291AAD" w:rsidP="00291AAD">
      <w:pPr>
        <w:pStyle w:val="Heading3"/>
        <w:rPr>
          <w:rFonts w:eastAsia="Calibri"/>
          <w:lang w:eastAsia="en-US"/>
        </w:rPr>
      </w:pPr>
      <w:r w:rsidRPr="006B7BDD">
        <w:rPr>
          <w:rFonts w:eastAsia="Calibri"/>
          <w:lang w:eastAsia="en-US"/>
        </w:rPr>
        <w:t>Contingency actions</w:t>
      </w:r>
    </w:p>
    <w:p w14:paraId="4BC9CFAE" w14:textId="77777777" w:rsidR="00291AAD" w:rsidRPr="00291AAD" w:rsidRDefault="00291AAD" w:rsidP="00291AAD">
      <w:pPr>
        <w:pStyle w:val="Heading6"/>
        <w:spacing w:line="276" w:lineRule="auto"/>
        <w:rPr>
          <w:rFonts w:ascii="Arial" w:hAnsi="Arial" w:cs="Arial"/>
          <w:color w:val="auto"/>
        </w:rPr>
      </w:pPr>
      <w:r w:rsidRPr="00291AAD">
        <w:rPr>
          <w:rFonts w:ascii="Arial" w:hAnsi="Arial" w:cs="Arial"/>
          <w:color w:val="auto"/>
        </w:rPr>
        <w:t>When putting mitigations in place to ensure that the risk stays within the established tolerance threshold, the organisation must achieve balance between the costs and resources involved in limiting the risk, compared to the cost of the risk translating into an issue. In some circumstances it may be possible to have contingency plans in case mitigations fail, or, if a risk goes over tolerance, it may be necessary to consider additional controls.</w:t>
      </w:r>
    </w:p>
    <w:p w14:paraId="18313389" w14:textId="77777777" w:rsidR="00291AAD" w:rsidRPr="00291AAD" w:rsidRDefault="00291AAD" w:rsidP="00291AAD">
      <w:pPr>
        <w:pStyle w:val="Heading6"/>
        <w:spacing w:line="276" w:lineRule="auto"/>
        <w:rPr>
          <w:rFonts w:ascii="Arial" w:hAnsi="Arial" w:cs="Arial"/>
          <w:color w:val="auto"/>
        </w:rPr>
      </w:pPr>
    </w:p>
    <w:p w14:paraId="41418623" w14:textId="50B3FA4B" w:rsidR="00291AAD" w:rsidRPr="00273D07" w:rsidRDefault="00291AAD" w:rsidP="00273D07">
      <w:pPr>
        <w:pStyle w:val="Heading6"/>
        <w:spacing w:line="276" w:lineRule="auto"/>
        <w:rPr>
          <w:rFonts w:ascii="Arial" w:hAnsi="Arial" w:cs="Arial"/>
          <w:color w:val="auto"/>
        </w:rPr>
      </w:pPr>
      <w:r w:rsidRPr="00291AAD">
        <w:rPr>
          <w:rFonts w:ascii="Arial" w:hAnsi="Arial" w:cs="Arial"/>
          <w:color w:val="auto"/>
        </w:rPr>
        <w:t xml:space="preserve">When a risk exceeds its tolerance threshold, or when the risk translates into a live issue, we will discuss and agree further mitigations to be taken in the form of an action plan. This should be done at the relevant managerial level and may be escalated if appropriate. </w:t>
      </w:r>
    </w:p>
    <w:sectPr w:rsidR="00291AAD" w:rsidRPr="00273D07" w:rsidSect="00CC4C06">
      <w:headerReference w:type="default" r:id="rId14"/>
      <w:footerReference w:type="default" r:id="rId15"/>
      <w:headerReference w:type="first" r:id="rId16"/>
      <w:footerReference w:type="first" r:id="rId17"/>
      <w:pgSz w:w="11907" w:h="16840" w:code="9"/>
      <w:pgMar w:top="2127" w:right="992" w:bottom="1418" w:left="1701"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E6A7C" w14:textId="77777777" w:rsidR="00C52F5E" w:rsidRDefault="00C52F5E">
      <w:r>
        <w:separator/>
      </w:r>
    </w:p>
  </w:endnote>
  <w:endnote w:type="continuationSeparator" w:id="0">
    <w:p w14:paraId="4D08456B" w14:textId="77777777" w:rsidR="00C52F5E" w:rsidRDefault="00C52F5E">
      <w:r>
        <w:continuationSeparator/>
      </w:r>
    </w:p>
  </w:endnote>
  <w:endnote w:type="continuationNotice" w:id="1">
    <w:p w14:paraId="4E8A8B55" w14:textId="77777777" w:rsidR="00C52F5E" w:rsidRDefault="00C52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BB875" w14:textId="77777777" w:rsidR="003C39E8" w:rsidRDefault="003C39E8" w:rsidP="003C39E8">
    <w:pPr>
      <w:pStyle w:val="Footer"/>
      <w:jc w:val="right"/>
      <w:rPr>
        <w:szCs w:val="36"/>
      </w:rPr>
    </w:pPr>
    <w:r>
      <w:rPr>
        <w:sz w:val="18"/>
      </w:rPr>
      <w:tab/>
    </w:r>
  </w:p>
  <w:p w14:paraId="570191F9" w14:textId="77777777" w:rsidR="00AD685F" w:rsidRDefault="00AD685F" w:rsidP="003C39E8">
    <w:pPr>
      <w:pStyle w:val="Footer"/>
      <w:jc w:val="cen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442C" w14:textId="77777777" w:rsidR="00AD685F" w:rsidRPr="004102E6" w:rsidRDefault="00AD685F">
    <w:pPr>
      <w:pStyle w:val="Footer"/>
      <w:jc w:val="right"/>
      <w:rPr>
        <w:bCs/>
        <w:sz w:val="24"/>
      </w:rPr>
    </w:pPr>
  </w:p>
  <w:p w14:paraId="6AAB2A18" w14:textId="77777777" w:rsidR="003C39E8" w:rsidRDefault="003C39E8" w:rsidP="003C39E8">
    <w:pPr>
      <w:pStyle w:val="Footer"/>
      <w:jc w:val="right"/>
      <w:rPr>
        <w:szCs w:val="36"/>
      </w:rPr>
    </w:pPr>
  </w:p>
  <w:p w14:paraId="437AB9F4" w14:textId="77777777" w:rsidR="003C39E8" w:rsidRPr="003C39E8" w:rsidRDefault="003C39E8" w:rsidP="003C39E8">
    <w:pPr>
      <w:pStyle w:val="Footer"/>
      <w:ind w:left="-851"/>
      <w:rPr>
        <w:sz w:val="24"/>
        <w:szCs w:val="44"/>
      </w:rPr>
    </w:pPr>
    <w:r w:rsidRPr="003C39E8">
      <w:rPr>
        <w:sz w:val="24"/>
        <w:szCs w:val="40"/>
      </w:rPr>
      <w:t xml:space="preserve">HTA meeting papers are not policy documents. </w:t>
    </w:r>
    <w:r w:rsidRPr="003C39E8">
      <w:rPr>
        <w:sz w:val="24"/>
        <w:szCs w:val="40"/>
      </w:rPr>
      <w:br/>
      <w:t>Draft policies may be subject to revision following the HTA Board meeting</w:t>
    </w:r>
  </w:p>
  <w:p w14:paraId="563C9A4F" w14:textId="77777777" w:rsidR="003C39E8" w:rsidRPr="00896021" w:rsidRDefault="003C39E8" w:rsidP="003C39E8">
    <w:pPr>
      <w:pStyle w:val="Footer"/>
      <w:jc w:val="right"/>
      <w:rPr>
        <w:szCs w:val="36"/>
      </w:rPr>
    </w:pPr>
    <w:r w:rsidRPr="00896021">
      <w:rPr>
        <w:szCs w:val="36"/>
      </w:rPr>
      <w:fldChar w:fldCharType="begin"/>
    </w:r>
    <w:r w:rsidRPr="00896021">
      <w:rPr>
        <w:szCs w:val="36"/>
      </w:rPr>
      <w:instrText xml:space="preserve"> PAGE </w:instrText>
    </w:r>
    <w:r w:rsidRPr="00896021">
      <w:rPr>
        <w:szCs w:val="36"/>
      </w:rPr>
      <w:fldChar w:fldCharType="separate"/>
    </w:r>
    <w:r>
      <w:rPr>
        <w:szCs w:val="36"/>
      </w:rPr>
      <w:t>1</w:t>
    </w:r>
    <w:r w:rsidRPr="00896021">
      <w:rPr>
        <w:szCs w:val="36"/>
      </w:rPr>
      <w:fldChar w:fldCharType="end"/>
    </w:r>
  </w:p>
  <w:p w14:paraId="6DF8AC47" w14:textId="77777777" w:rsidR="00AD685F" w:rsidRDefault="009203A5">
    <w:pPr>
      <w:pStyle w:val="Footer"/>
    </w:pPr>
    <w:r>
      <w:rPr>
        <w:noProof/>
      </w:rPr>
      <w:drawing>
        <wp:anchor distT="0" distB="0" distL="114300" distR="114300" simplePos="0" relativeHeight="251658240" behindDoc="0" locked="1" layoutInCell="1" allowOverlap="1" wp14:anchorId="79E82A7D" wp14:editId="5AB2EC01">
          <wp:simplePos x="0" y="0"/>
          <wp:positionH relativeFrom="page">
            <wp:posOffset>4752340</wp:posOffset>
          </wp:positionH>
          <wp:positionV relativeFrom="page">
            <wp:posOffset>360045</wp:posOffset>
          </wp:positionV>
          <wp:extent cx="2019300" cy="609600"/>
          <wp:effectExtent l="1905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B876" w14:textId="77777777" w:rsidR="00C52F5E" w:rsidRDefault="00C52F5E">
      <w:r>
        <w:separator/>
      </w:r>
    </w:p>
  </w:footnote>
  <w:footnote w:type="continuationSeparator" w:id="0">
    <w:p w14:paraId="55D2C0ED" w14:textId="77777777" w:rsidR="00C52F5E" w:rsidRDefault="00C52F5E">
      <w:r>
        <w:continuationSeparator/>
      </w:r>
    </w:p>
  </w:footnote>
  <w:footnote w:type="continuationNotice" w:id="1">
    <w:p w14:paraId="67D7032C" w14:textId="77777777" w:rsidR="00C52F5E" w:rsidRDefault="00C52F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7718E" w14:textId="77777777" w:rsidR="00291AAD" w:rsidRDefault="00291AAD">
    <w:pPr>
      <w:pStyle w:val="Header"/>
    </w:pPr>
    <w:r w:rsidRPr="00926895">
      <w:rPr>
        <w:noProof/>
        <w:color w:val="2B579A"/>
        <w:shd w:val="clear" w:color="auto" w:fill="E6E6E6"/>
      </w:rPr>
      <w:drawing>
        <wp:anchor distT="0" distB="0" distL="114300" distR="114300" simplePos="0" relativeHeight="251660289" behindDoc="0" locked="0" layoutInCell="1" allowOverlap="1" wp14:anchorId="63F35A4A" wp14:editId="329EBFFB">
          <wp:simplePos x="0" y="0"/>
          <wp:positionH relativeFrom="column">
            <wp:posOffset>4212771</wp:posOffset>
          </wp:positionH>
          <wp:positionV relativeFrom="paragraph">
            <wp:posOffset>-226332</wp:posOffset>
          </wp:positionV>
          <wp:extent cx="1981200" cy="600075"/>
          <wp:effectExtent l="0" t="0" r="0" b="9525"/>
          <wp:wrapNone/>
          <wp:docPr id="22" name="Picture 22" descr="C:\Users\Morounke\AppData\Local\Microsoft\Windows\INetCache\Content.Outlook\3HFW3PQ0\HTA Logo for 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ounke\AppData\Local\Microsoft\Windows\INetCache\Content.Outlook\3HFW3PQ0\HTA Logo for 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1200" cy="600075"/>
                  </a:xfrm>
                  <a:prstGeom prst="rect">
                    <a:avLst/>
                  </a:prstGeom>
                  <a:noFill/>
                  <a:ln>
                    <a:noFill/>
                  </a:ln>
                </pic:spPr>
              </pic:pic>
            </a:graphicData>
          </a:graphic>
        </wp:anchor>
      </w:drawing>
    </w:r>
  </w:p>
  <w:p w14:paraId="0DDC27FC" w14:textId="77777777" w:rsidR="00291AAD" w:rsidRDefault="00291AAD" w:rsidP="003E38EB">
    <w:pPr>
      <w:pStyle w:val="Header"/>
    </w:pPr>
  </w:p>
  <w:p w14:paraId="51F6A864" w14:textId="77777777" w:rsidR="00291AAD" w:rsidRDefault="00291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E35D" w14:textId="5784BE40" w:rsidR="00AD685F" w:rsidRPr="002828E9" w:rsidRDefault="003C39E8">
    <w:pPr>
      <w:pStyle w:val="Filename"/>
      <w:rPr>
        <w:sz w:val="22"/>
        <w:szCs w:val="22"/>
      </w:rPr>
    </w:pPr>
    <w:r w:rsidRPr="002828E9">
      <w:rPr>
        <w:noProof/>
        <w:sz w:val="22"/>
        <w:szCs w:val="22"/>
      </w:rPr>
      <w:drawing>
        <wp:anchor distT="0" distB="0" distL="114300" distR="114300" simplePos="0" relativeHeight="251658241" behindDoc="0" locked="1" layoutInCell="1" allowOverlap="1" wp14:anchorId="5782F2BB" wp14:editId="55A6C533">
          <wp:simplePos x="0" y="0"/>
          <wp:positionH relativeFrom="page">
            <wp:posOffset>4966335</wp:posOffset>
          </wp:positionH>
          <wp:positionV relativeFrom="page">
            <wp:posOffset>502285</wp:posOffset>
          </wp:positionV>
          <wp:extent cx="2019300" cy="609600"/>
          <wp:effectExtent l="19050" t="0" r="0" b="0"/>
          <wp:wrapNone/>
          <wp:docPr id="13" name="Picture 13" descr="HTA_colour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A_colour 56"/>
                  <pic:cNvPicPr>
                    <a:picLocks noChangeAspect="1" noChangeArrowheads="1"/>
                  </pic:cNvPicPr>
                </pic:nvPicPr>
                <pic:blipFill>
                  <a:blip r:embed="rId1"/>
                  <a:srcRect/>
                  <a:stretch>
                    <a:fillRect/>
                  </a:stretch>
                </pic:blipFill>
                <pic:spPr bwMode="auto">
                  <a:xfrm>
                    <a:off x="0" y="0"/>
                    <a:ext cx="2019300" cy="609600"/>
                  </a:xfrm>
                  <a:prstGeom prst="rect">
                    <a:avLst/>
                  </a:prstGeom>
                  <a:noFill/>
                  <a:ln w="9525">
                    <a:noFill/>
                    <a:miter lim="800000"/>
                    <a:headEnd/>
                    <a:tailEnd/>
                  </a:ln>
                </pic:spPr>
              </pic:pic>
            </a:graphicData>
          </a:graphic>
        </wp:anchor>
      </w:drawing>
    </w:r>
    <w:r w:rsidR="00AD685F" w:rsidRPr="002828E9">
      <w:rPr>
        <w:sz w:val="22"/>
        <w:szCs w:val="22"/>
      </w:rPr>
      <w:fldChar w:fldCharType="begin"/>
    </w:r>
    <w:r w:rsidR="00AD685F" w:rsidRPr="002828E9">
      <w:rPr>
        <w:sz w:val="22"/>
        <w:szCs w:val="22"/>
      </w:rPr>
      <w:instrText xml:space="preserve"> STYLEREF "Filename and path" \* MERGEFORMAT </w:instrText>
    </w:r>
    <w:r w:rsidR="00AD685F" w:rsidRPr="002828E9">
      <w:rPr>
        <w:sz w:val="22"/>
        <w:szCs w:val="22"/>
      </w:rPr>
      <w:fldChar w:fldCharType="end"/>
    </w:r>
  </w:p>
  <w:p w14:paraId="66E94365" w14:textId="77777777" w:rsidR="00AD685F" w:rsidRDefault="00AD6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1D97" w14:textId="77777777" w:rsidR="00397A37" w:rsidRDefault="00397A37">
    <w:pPr>
      <w:pStyle w:val="Header"/>
    </w:pPr>
    <w:r w:rsidRPr="00B002B2">
      <w:rPr>
        <w:sz w:val="24"/>
        <w:szCs w:val="40"/>
      </w:rPr>
      <w:t>Paper reference HTA (XX/XX)</w:t>
    </w:r>
  </w:p>
  <w:p w14:paraId="0F47D8D7" w14:textId="77777777" w:rsidR="00AD685F" w:rsidRDefault="00AD685F">
    <w:pPr>
      <w:pStyle w:val="Header"/>
      <w:spacing w:line="240" w:lineRule="aut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224D9F6"/>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275430FE"/>
    <w:lvl w:ilvl="0">
      <w:start w:val="1"/>
      <w:numFmt w:val="lowerLetter"/>
      <w:pStyle w:val="ListNumber2"/>
      <w:lvlText w:val="(%1)"/>
      <w:lvlJc w:val="left"/>
      <w:pPr>
        <w:tabs>
          <w:tab w:val="num" w:pos="454"/>
        </w:tabs>
        <w:ind w:left="454" w:hanging="454"/>
      </w:pPr>
      <w:rPr>
        <w:rFonts w:hint="default"/>
      </w:rPr>
    </w:lvl>
  </w:abstractNum>
  <w:abstractNum w:abstractNumId="2" w15:restartNumberingAfterBreak="0">
    <w:nsid w:val="FFFFFF83"/>
    <w:multiLevelType w:val="singleLevel"/>
    <w:tmpl w:val="BC78E9E6"/>
    <w:lvl w:ilvl="0">
      <w:start w:val="1"/>
      <w:numFmt w:val="bullet"/>
      <w:pStyle w:val="ListBullet2"/>
      <w:lvlText w:val=""/>
      <w:lvlJc w:val="left"/>
      <w:pPr>
        <w:tabs>
          <w:tab w:val="num" w:pos="814"/>
        </w:tabs>
        <w:ind w:left="794" w:hanging="340"/>
      </w:pPr>
      <w:rPr>
        <w:rFonts w:ascii="Symbol" w:hAnsi="Symbol" w:hint="default"/>
      </w:rPr>
    </w:lvl>
  </w:abstractNum>
  <w:abstractNum w:abstractNumId="3" w15:restartNumberingAfterBreak="0">
    <w:nsid w:val="FFFFFF88"/>
    <w:multiLevelType w:val="singleLevel"/>
    <w:tmpl w:val="0D84CE7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71B11"/>
    <w:multiLevelType w:val="hybridMultilevel"/>
    <w:tmpl w:val="72C46706"/>
    <w:lvl w:ilvl="0" w:tplc="31CE0C32">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D971FC"/>
    <w:multiLevelType w:val="hybridMultilevel"/>
    <w:tmpl w:val="A9103EE4"/>
    <w:lvl w:ilvl="0" w:tplc="FDFA2B7C">
      <w:start w:val="1"/>
      <w:numFmt w:val="bullet"/>
      <w:pStyle w:val="ListBullet"/>
      <w:lvlText w:val=""/>
      <w:lvlJc w:val="left"/>
      <w:pPr>
        <w:tabs>
          <w:tab w:val="num" w:pos="454"/>
        </w:tabs>
        <w:ind w:left="454" w:hanging="454"/>
      </w:pPr>
      <w:rPr>
        <w:rFonts w:ascii="Symbol" w:hAnsi="Symbol" w:hint="default"/>
        <w:color w:val="86B0B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AA5DAC"/>
    <w:multiLevelType w:val="hybridMultilevel"/>
    <w:tmpl w:val="A5E269C0"/>
    <w:lvl w:ilvl="0" w:tplc="6D8E7C3A">
      <w:start w:val="1"/>
      <w:numFmt w:val="decimal"/>
      <w:lvlText w:val="%1."/>
      <w:lvlJc w:val="left"/>
      <w:pPr>
        <w:tabs>
          <w:tab w:val="num" w:pos="454"/>
        </w:tabs>
        <w:ind w:left="454" w:hanging="45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5A2CFB"/>
    <w:multiLevelType w:val="hybridMultilevel"/>
    <w:tmpl w:val="C204BF2E"/>
    <w:lvl w:ilvl="0" w:tplc="5B80CADA">
      <w:start w:val="1"/>
      <w:numFmt w:val="decimal"/>
      <w:lvlText w:val="%1."/>
      <w:lvlJc w:val="left"/>
      <w:pPr>
        <w:ind w:left="510" w:hanging="453"/>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A44573"/>
    <w:multiLevelType w:val="hybridMultilevel"/>
    <w:tmpl w:val="BF304B32"/>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B2AA8"/>
    <w:multiLevelType w:val="hybridMultilevel"/>
    <w:tmpl w:val="5A74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822AE1"/>
    <w:multiLevelType w:val="hybridMultilevel"/>
    <w:tmpl w:val="7B70F68C"/>
    <w:lvl w:ilvl="0" w:tplc="5B80CADA">
      <w:start w:val="1"/>
      <w:numFmt w:val="decimal"/>
      <w:lvlText w:val="%1."/>
      <w:lvlJc w:val="left"/>
      <w:pPr>
        <w:ind w:left="510" w:hanging="453"/>
      </w:pPr>
      <w:rPr>
        <w:rFonts w:ascii="Arial" w:hAnsi="Arial"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980972"/>
    <w:multiLevelType w:val="hybridMultilevel"/>
    <w:tmpl w:val="11D454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917CDB"/>
    <w:multiLevelType w:val="hybridMultilevel"/>
    <w:tmpl w:val="6E4613A8"/>
    <w:lvl w:ilvl="0" w:tplc="1E285196">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2125FFA"/>
    <w:multiLevelType w:val="hybridMultilevel"/>
    <w:tmpl w:val="74BCCC5C"/>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283FD1"/>
    <w:multiLevelType w:val="hybridMultilevel"/>
    <w:tmpl w:val="D19A82A4"/>
    <w:lvl w:ilvl="0" w:tplc="2074742E">
      <w:start w:val="1"/>
      <w:numFmt w:val="lowerLetter"/>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053944"/>
    <w:multiLevelType w:val="hybridMultilevel"/>
    <w:tmpl w:val="092C46A8"/>
    <w:lvl w:ilvl="0" w:tplc="6D909228">
      <w:start w:val="1"/>
      <w:numFmt w:val="decimal"/>
      <w:lvlText w:val="%1."/>
      <w:lvlJc w:val="left"/>
      <w:pPr>
        <w:tabs>
          <w:tab w:val="num" w:pos="454"/>
        </w:tabs>
        <w:ind w:left="454" w:hanging="45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344FBA"/>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27C15FE"/>
    <w:multiLevelType w:val="hybridMultilevel"/>
    <w:tmpl w:val="2DD22FA8"/>
    <w:lvl w:ilvl="0" w:tplc="053ACECE">
      <w:start w:val="1"/>
      <w:numFmt w:val="decimal"/>
      <w:lvlText w:val="%1."/>
      <w:lvlJc w:val="left"/>
      <w:pPr>
        <w:ind w:left="720" w:hanging="663"/>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5D4C07DB"/>
    <w:multiLevelType w:val="multilevel"/>
    <w:tmpl w:val="800A966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454"/>
        </w:tabs>
        <w:ind w:left="454" w:hanging="454"/>
      </w:pPr>
      <w:rPr>
        <w:rFonts w:hint="default"/>
      </w:rPr>
    </w:lvl>
    <w:lvl w:ilvl="2">
      <w:start w:val="1"/>
      <w:numFmt w:val="decimal"/>
      <w:lvlText w:val="%3."/>
      <w:lvlJc w:val="left"/>
      <w:pPr>
        <w:tabs>
          <w:tab w:val="num" w:pos="454"/>
        </w:tabs>
        <w:ind w:left="454" w:hanging="45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0212E1D"/>
    <w:multiLevelType w:val="hybridMultilevel"/>
    <w:tmpl w:val="79E4A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477B48"/>
    <w:multiLevelType w:val="multilevel"/>
    <w:tmpl w:val="41D4DD24"/>
    <w:lvl w:ilvl="0">
      <w:start w:val="1"/>
      <w:numFmt w:val="decimal"/>
      <w:lvlText w:val="%1."/>
      <w:lvlJc w:val="left"/>
      <w:pPr>
        <w:tabs>
          <w:tab w:val="num" w:pos="454"/>
        </w:tabs>
        <w:ind w:left="454" w:hanging="454"/>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8F07D9C"/>
    <w:multiLevelType w:val="hybridMultilevel"/>
    <w:tmpl w:val="178A46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F236CF"/>
    <w:multiLevelType w:val="hybridMultilevel"/>
    <w:tmpl w:val="DD4AD8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F00569"/>
    <w:multiLevelType w:val="hybridMultilevel"/>
    <w:tmpl w:val="5AA60EBE"/>
    <w:lvl w:ilvl="0" w:tplc="5B80CADA">
      <w:start w:val="1"/>
      <w:numFmt w:val="decimal"/>
      <w:lvlText w:val="%1."/>
      <w:lvlJc w:val="left"/>
      <w:pPr>
        <w:ind w:left="510" w:hanging="45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2FF71EF"/>
    <w:multiLevelType w:val="hybridMultilevel"/>
    <w:tmpl w:val="4CEA02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BE387A"/>
    <w:multiLevelType w:val="hybridMultilevel"/>
    <w:tmpl w:val="19788C22"/>
    <w:lvl w:ilvl="0" w:tplc="068C9A24">
      <w:start w:val="21"/>
      <w:numFmt w:val="decimal"/>
      <w:pStyle w:val="NumberedlistHTA"/>
      <w:lvlText w:val="%1."/>
      <w:lvlJc w:val="left"/>
      <w:pPr>
        <w:ind w:left="360" w:hanging="360"/>
      </w:pPr>
      <w:rPr>
        <w:rFonts w:hint="default"/>
        <w:b w:val="0"/>
        <w:bCs/>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60065F"/>
    <w:multiLevelType w:val="hybridMultilevel"/>
    <w:tmpl w:val="16A4FBF2"/>
    <w:lvl w:ilvl="0" w:tplc="5B80CADA">
      <w:start w:val="1"/>
      <w:numFmt w:val="decimal"/>
      <w:lvlText w:val="%1."/>
      <w:lvlJc w:val="left"/>
      <w:pPr>
        <w:ind w:left="510" w:hanging="453"/>
      </w:pPr>
      <w:rPr>
        <w:rFonts w:ascii="Arial" w:hAnsi="Arial" w:hint="default"/>
        <w:sz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CC43EC7"/>
    <w:multiLevelType w:val="hybridMultilevel"/>
    <w:tmpl w:val="2752E988"/>
    <w:lvl w:ilvl="0" w:tplc="BEB24986">
      <w:start w:val="1"/>
      <w:numFmt w:val="decimal"/>
      <w:lvlText w:val="%1."/>
      <w:lvlJc w:val="left"/>
      <w:pPr>
        <w:ind w:left="720" w:hanging="6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813D91"/>
    <w:multiLevelType w:val="hybridMultilevel"/>
    <w:tmpl w:val="56AEBE02"/>
    <w:lvl w:ilvl="0" w:tplc="5B80CADA">
      <w:start w:val="1"/>
      <w:numFmt w:val="decimal"/>
      <w:lvlText w:val="%1."/>
      <w:lvlJc w:val="left"/>
      <w:pPr>
        <w:ind w:left="510" w:hanging="453"/>
      </w:pPr>
      <w:rPr>
        <w:rFonts w:ascii="Arial" w:hAnsi="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410836">
    <w:abstractNumId w:val="4"/>
  </w:num>
  <w:num w:numId="2" w16cid:durableId="970668943">
    <w:abstractNumId w:val="6"/>
  </w:num>
  <w:num w:numId="3" w16cid:durableId="323970328">
    <w:abstractNumId w:val="19"/>
  </w:num>
  <w:num w:numId="4" w16cid:durableId="334113601">
    <w:abstractNumId w:val="15"/>
  </w:num>
  <w:num w:numId="5" w16cid:durableId="958687278">
    <w:abstractNumId w:val="15"/>
    <w:lvlOverride w:ilvl="0">
      <w:startOverride w:val="1"/>
    </w:lvlOverride>
  </w:num>
  <w:num w:numId="6" w16cid:durableId="339161082">
    <w:abstractNumId w:val="5"/>
  </w:num>
  <w:num w:numId="7" w16cid:durableId="1022708720">
    <w:abstractNumId w:val="7"/>
  </w:num>
  <w:num w:numId="8" w16cid:durableId="2137750930">
    <w:abstractNumId w:val="13"/>
  </w:num>
  <w:num w:numId="9" w16cid:durableId="373624022">
    <w:abstractNumId w:val="6"/>
  </w:num>
  <w:num w:numId="10" w16cid:durableId="1122697514">
    <w:abstractNumId w:val="6"/>
  </w:num>
  <w:num w:numId="11" w16cid:durableId="914361525">
    <w:abstractNumId w:val="3"/>
  </w:num>
  <w:num w:numId="12" w16cid:durableId="1650476557">
    <w:abstractNumId w:val="3"/>
  </w:num>
  <w:num w:numId="13" w16cid:durableId="1298802597">
    <w:abstractNumId w:val="9"/>
  </w:num>
  <w:num w:numId="14" w16cid:durableId="1272319410">
    <w:abstractNumId w:val="16"/>
  </w:num>
  <w:num w:numId="15" w16cid:durableId="1084957132">
    <w:abstractNumId w:val="2"/>
  </w:num>
  <w:num w:numId="16" w16cid:durableId="601718098">
    <w:abstractNumId w:val="2"/>
  </w:num>
  <w:num w:numId="17" w16cid:durableId="1363828136">
    <w:abstractNumId w:val="1"/>
  </w:num>
  <w:num w:numId="18" w16cid:durableId="1004671434">
    <w:abstractNumId w:val="0"/>
  </w:num>
  <w:num w:numId="19" w16cid:durableId="1167786645">
    <w:abstractNumId w:val="21"/>
  </w:num>
  <w:num w:numId="20" w16cid:durableId="1096558152">
    <w:abstractNumId w:val="17"/>
  </w:num>
  <w:num w:numId="21" w16cid:durableId="241767072">
    <w:abstractNumId w:val="23"/>
  </w:num>
  <w:num w:numId="22" w16cid:durableId="1761565174">
    <w:abstractNumId w:val="22"/>
  </w:num>
  <w:num w:numId="23" w16cid:durableId="35398188">
    <w:abstractNumId w:val="8"/>
  </w:num>
  <w:num w:numId="24" w16cid:durableId="137304827">
    <w:abstractNumId w:val="12"/>
  </w:num>
  <w:num w:numId="25" w16cid:durableId="621419991">
    <w:abstractNumId w:val="20"/>
  </w:num>
  <w:num w:numId="26" w16cid:durableId="971248086">
    <w:abstractNumId w:val="28"/>
  </w:num>
  <w:num w:numId="27" w16cid:durableId="1406220928">
    <w:abstractNumId w:val="25"/>
  </w:num>
  <w:num w:numId="28" w16cid:durableId="1618640886">
    <w:abstractNumId w:val="18"/>
  </w:num>
  <w:num w:numId="29" w16cid:durableId="1441685734">
    <w:abstractNumId w:val="14"/>
  </w:num>
  <w:num w:numId="30" w16cid:durableId="408499750">
    <w:abstractNumId w:val="29"/>
  </w:num>
  <w:num w:numId="31" w16cid:durableId="2073918809">
    <w:abstractNumId w:val="24"/>
  </w:num>
  <w:num w:numId="32" w16cid:durableId="278489746">
    <w:abstractNumId w:val="27"/>
  </w:num>
  <w:num w:numId="33" w16cid:durableId="845751028">
    <w:abstractNumId w:val="11"/>
  </w:num>
  <w:num w:numId="34" w16cid:durableId="849762947">
    <w:abstractNumId w:val="26"/>
    <w:lvlOverride w:ilvl="0">
      <w:startOverride w:val="38"/>
    </w:lvlOverride>
  </w:num>
  <w:num w:numId="35" w16cid:durableId="1001272670">
    <w:abstractNumId w:val="26"/>
  </w:num>
  <w:num w:numId="36" w16cid:durableId="1911851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colormru v:ext="edit" colors="#86b0b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00"/>
    <w:rsid w:val="0000060E"/>
    <w:rsid w:val="0000104E"/>
    <w:rsid w:val="000024A6"/>
    <w:rsid w:val="00005925"/>
    <w:rsid w:val="000065A5"/>
    <w:rsid w:val="000069E4"/>
    <w:rsid w:val="00006A4D"/>
    <w:rsid w:val="000074A0"/>
    <w:rsid w:val="000116CA"/>
    <w:rsid w:val="000134E9"/>
    <w:rsid w:val="00013E16"/>
    <w:rsid w:val="0001487B"/>
    <w:rsid w:val="00016D3F"/>
    <w:rsid w:val="00021F25"/>
    <w:rsid w:val="0002476E"/>
    <w:rsid w:val="0002735A"/>
    <w:rsid w:val="00033C07"/>
    <w:rsid w:val="00034F0B"/>
    <w:rsid w:val="000375C9"/>
    <w:rsid w:val="00043872"/>
    <w:rsid w:val="00045EE0"/>
    <w:rsid w:val="00050BC0"/>
    <w:rsid w:val="00063C4E"/>
    <w:rsid w:val="00071AE9"/>
    <w:rsid w:val="0007200C"/>
    <w:rsid w:val="00074000"/>
    <w:rsid w:val="00075D49"/>
    <w:rsid w:val="00076CE6"/>
    <w:rsid w:val="00077F6E"/>
    <w:rsid w:val="00082B23"/>
    <w:rsid w:val="00085E66"/>
    <w:rsid w:val="000A54C0"/>
    <w:rsid w:val="000B25D4"/>
    <w:rsid w:val="000B3651"/>
    <w:rsid w:val="000B3D39"/>
    <w:rsid w:val="000B6951"/>
    <w:rsid w:val="000C0CFC"/>
    <w:rsid w:val="000C2068"/>
    <w:rsid w:val="000C3813"/>
    <w:rsid w:val="000C3EC8"/>
    <w:rsid w:val="000C4BFD"/>
    <w:rsid w:val="000C4C7A"/>
    <w:rsid w:val="000C537D"/>
    <w:rsid w:val="000C7CF2"/>
    <w:rsid w:val="000D07FD"/>
    <w:rsid w:val="000D1BFD"/>
    <w:rsid w:val="000D574D"/>
    <w:rsid w:val="000D5E80"/>
    <w:rsid w:val="000E2EEB"/>
    <w:rsid w:val="000E30DB"/>
    <w:rsid w:val="000E3451"/>
    <w:rsid w:val="000E535A"/>
    <w:rsid w:val="000F179E"/>
    <w:rsid w:val="000F6C02"/>
    <w:rsid w:val="00104513"/>
    <w:rsid w:val="00112DC0"/>
    <w:rsid w:val="001133D4"/>
    <w:rsid w:val="00113687"/>
    <w:rsid w:val="00113750"/>
    <w:rsid w:val="00117AAA"/>
    <w:rsid w:val="00123C7E"/>
    <w:rsid w:val="00123EED"/>
    <w:rsid w:val="0012546D"/>
    <w:rsid w:val="00131A63"/>
    <w:rsid w:val="00133B7E"/>
    <w:rsid w:val="0013448E"/>
    <w:rsid w:val="001363B9"/>
    <w:rsid w:val="00141C74"/>
    <w:rsid w:val="00145971"/>
    <w:rsid w:val="0014719B"/>
    <w:rsid w:val="001511C6"/>
    <w:rsid w:val="00151BDB"/>
    <w:rsid w:val="00153148"/>
    <w:rsid w:val="0015498C"/>
    <w:rsid w:val="00154F9D"/>
    <w:rsid w:val="00155324"/>
    <w:rsid w:val="00155550"/>
    <w:rsid w:val="001637C2"/>
    <w:rsid w:val="00164967"/>
    <w:rsid w:val="00166219"/>
    <w:rsid w:val="00166B59"/>
    <w:rsid w:val="00173BDD"/>
    <w:rsid w:val="0017468C"/>
    <w:rsid w:val="001802B6"/>
    <w:rsid w:val="001810AF"/>
    <w:rsid w:val="00183040"/>
    <w:rsid w:val="00185AF0"/>
    <w:rsid w:val="00191D05"/>
    <w:rsid w:val="00193DE8"/>
    <w:rsid w:val="001954F3"/>
    <w:rsid w:val="001A539F"/>
    <w:rsid w:val="001A7F55"/>
    <w:rsid w:val="001B1C07"/>
    <w:rsid w:val="001C3567"/>
    <w:rsid w:val="001C3B51"/>
    <w:rsid w:val="001C3C67"/>
    <w:rsid w:val="001C4909"/>
    <w:rsid w:val="001D1550"/>
    <w:rsid w:val="001D4D03"/>
    <w:rsid w:val="001E23C0"/>
    <w:rsid w:val="001E407F"/>
    <w:rsid w:val="001F50A5"/>
    <w:rsid w:val="001F56F7"/>
    <w:rsid w:val="001F61AE"/>
    <w:rsid w:val="001F7CC9"/>
    <w:rsid w:val="00203209"/>
    <w:rsid w:val="00206B07"/>
    <w:rsid w:val="00206DC8"/>
    <w:rsid w:val="00207BF3"/>
    <w:rsid w:val="002113EF"/>
    <w:rsid w:val="00212271"/>
    <w:rsid w:val="0021547D"/>
    <w:rsid w:val="00221219"/>
    <w:rsid w:val="002221B6"/>
    <w:rsid w:val="00222640"/>
    <w:rsid w:val="00222FBD"/>
    <w:rsid w:val="00225C10"/>
    <w:rsid w:val="0022721B"/>
    <w:rsid w:val="002321D3"/>
    <w:rsid w:val="002342BE"/>
    <w:rsid w:val="00234DA9"/>
    <w:rsid w:val="00243416"/>
    <w:rsid w:val="0024554D"/>
    <w:rsid w:val="0024755F"/>
    <w:rsid w:val="002520A4"/>
    <w:rsid w:val="00254CE8"/>
    <w:rsid w:val="00255860"/>
    <w:rsid w:val="00257B39"/>
    <w:rsid w:val="00261C26"/>
    <w:rsid w:val="00261F86"/>
    <w:rsid w:val="00262500"/>
    <w:rsid w:val="00264CBE"/>
    <w:rsid w:val="00270FC3"/>
    <w:rsid w:val="002713B1"/>
    <w:rsid w:val="00271DA4"/>
    <w:rsid w:val="00273D07"/>
    <w:rsid w:val="0028106C"/>
    <w:rsid w:val="00281F42"/>
    <w:rsid w:val="002828E9"/>
    <w:rsid w:val="002865DE"/>
    <w:rsid w:val="00290F91"/>
    <w:rsid w:val="0029146C"/>
    <w:rsid w:val="00291AAD"/>
    <w:rsid w:val="00291CA1"/>
    <w:rsid w:val="00292D7B"/>
    <w:rsid w:val="002A1DBE"/>
    <w:rsid w:val="002A596E"/>
    <w:rsid w:val="002A677A"/>
    <w:rsid w:val="002B057F"/>
    <w:rsid w:val="002B3678"/>
    <w:rsid w:val="002B4552"/>
    <w:rsid w:val="002B73A2"/>
    <w:rsid w:val="002C4692"/>
    <w:rsid w:val="002C6FCA"/>
    <w:rsid w:val="002C7771"/>
    <w:rsid w:val="002D1D36"/>
    <w:rsid w:val="002D4060"/>
    <w:rsid w:val="002D5FE1"/>
    <w:rsid w:val="002D6EC3"/>
    <w:rsid w:val="002E1B5D"/>
    <w:rsid w:val="002E718B"/>
    <w:rsid w:val="002E721A"/>
    <w:rsid w:val="002F3C5F"/>
    <w:rsid w:val="002F3ED4"/>
    <w:rsid w:val="002F52AF"/>
    <w:rsid w:val="002F7354"/>
    <w:rsid w:val="003024E6"/>
    <w:rsid w:val="00303CF3"/>
    <w:rsid w:val="00303E8A"/>
    <w:rsid w:val="003066C3"/>
    <w:rsid w:val="00306E96"/>
    <w:rsid w:val="003126CB"/>
    <w:rsid w:val="00313BFA"/>
    <w:rsid w:val="00315896"/>
    <w:rsid w:val="00322A9D"/>
    <w:rsid w:val="00324416"/>
    <w:rsid w:val="00324671"/>
    <w:rsid w:val="00327149"/>
    <w:rsid w:val="003277D0"/>
    <w:rsid w:val="003340CE"/>
    <w:rsid w:val="003368D1"/>
    <w:rsid w:val="00340F26"/>
    <w:rsid w:val="00342B6B"/>
    <w:rsid w:val="00344723"/>
    <w:rsid w:val="00344869"/>
    <w:rsid w:val="00346EB1"/>
    <w:rsid w:val="0035230C"/>
    <w:rsid w:val="00352F3D"/>
    <w:rsid w:val="0035498A"/>
    <w:rsid w:val="003634DE"/>
    <w:rsid w:val="00363C0A"/>
    <w:rsid w:val="00364164"/>
    <w:rsid w:val="003645DF"/>
    <w:rsid w:val="00366F4F"/>
    <w:rsid w:val="0037475A"/>
    <w:rsid w:val="003759B6"/>
    <w:rsid w:val="00376BE5"/>
    <w:rsid w:val="00382B69"/>
    <w:rsid w:val="003833AF"/>
    <w:rsid w:val="003870D6"/>
    <w:rsid w:val="003916D6"/>
    <w:rsid w:val="003939AC"/>
    <w:rsid w:val="0039541F"/>
    <w:rsid w:val="00395984"/>
    <w:rsid w:val="00396436"/>
    <w:rsid w:val="00397A37"/>
    <w:rsid w:val="003A3DA6"/>
    <w:rsid w:val="003A42FD"/>
    <w:rsid w:val="003A72B8"/>
    <w:rsid w:val="003B373D"/>
    <w:rsid w:val="003B439E"/>
    <w:rsid w:val="003C39E8"/>
    <w:rsid w:val="003C6989"/>
    <w:rsid w:val="003D0DF7"/>
    <w:rsid w:val="003D0E0F"/>
    <w:rsid w:val="003D3024"/>
    <w:rsid w:val="003D73E6"/>
    <w:rsid w:val="003E2B5E"/>
    <w:rsid w:val="003E53BF"/>
    <w:rsid w:val="003E6A0C"/>
    <w:rsid w:val="003E728C"/>
    <w:rsid w:val="003F072D"/>
    <w:rsid w:val="003F4889"/>
    <w:rsid w:val="003F4D44"/>
    <w:rsid w:val="003F5523"/>
    <w:rsid w:val="0040534E"/>
    <w:rsid w:val="004102E6"/>
    <w:rsid w:val="0042029E"/>
    <w:rsid w:val="00422B28"/>
    <w:rsid w:val="00431F2A"/>
    <w:rsid w:val="00434018"/>
    <w:rsid w:val="00435291"/>
    <w:rsid w:val="00444A41"/>
    <w:rsid w:val="00445738"/>
    <w:rsid w:val="0046308C"/>
    <w:rsid w:val="00463B66"/>
    <w:rsid w:val="0046508A"/>
    <w:rsid w:val="00465B15"/>
    <w:rsid w:val="00471D69"/>
    <w:rsid w:val="0047606C"/>
    <w:rsid w:val="00476092"/>
    <w:rsid w:val="00480C65"/>
    <w:rsid w:val="00481B61"/>
    <w:rsid w:val="00482C9E"/>
    <w:rsid w:val="004845FC"/>
    <w:rsid w:val="00484648"/>
    <w:rsid w:val="004858C9"/>
    <w:rsid w:val="00486A65"/>
    <w:rsid w:val="00490C93"/>
    <w:rsid w:val="00490D08"/>
    <w:rsid w:val="004912B5"/>
    <w:rsid w:val="004A2BEB"/>
    <w:rsid w:val="004A7CF2"/>
    <w:rsid w:val="004B1A97"/>
    <w:rsid w:val="004B2F41"/>
    <w:rsid w:val="004C0F7F"/>
    <w:rsid w:val="004C34B7"/>
    <w:rsid w:val="004C376E"/>
    <w:rsid w:val="004C5304"/>
    <w:rsid w:val="004C6726"/>
    <w:rsid w:val="004C7EE0"/>
    <w:rsid w:val="004D039E"/>
    <w:rsid w:val="004D73E2"/>
    <w:rsid w:val="004E162F"/>
    <w:rsid w:val="004E227E"/>
    <w:rsid w:val="004E71C7"/>
    <w:rsid w:val="004E72AF"/>
    <w:rsid w:val="004E749F"/>
    <w:rsid w:val="004F1067"/>
    <w:rsid w:val="004F6E8E"/>
    <w:rsid w:val="00501F75"/>
    <w:rsid w:val="0050537A"/>
    <w:rsid w:val="00505F01"/>
    <w:rsid w:val="005120C8"/>
    <w:rsid w:val="00512184"/>
    <w:rsid w:val="00513B7B"/>
    <w:rsid w:val="00513CE0"/>
    <w:rsid w:val="00516D9D"/>
    <w:rsid w:val="00521C05"/>
    <w:rsid w:val="00524159"/>
    <w:rsid w:val="00526986"/>
    <w:rsid w:val="00535866"/>
    <w:rsid w:val="005362D0"/>
    <w:rsid w:val="00536F4F"/>
    <w:rsid w:val="00537C96"/>
    <w:rsid w:val="0054256D"/>
    <w:rsid w:val="005466CA"/>
    <w:rsid w:val="0055174B"/>
    <w:rsid w:val="00552645"/>
    <w:rsid w:val="0055560B"/>
    <w:rsid w:val="00556C0C"/>
    <w:rsid w:val="00560077"/>
    <w:rsid w:val="005618B2"/>
    <w:rsid w:val="00561FA4"/>
    <w:rsid w:val="0056223A"/>
    <w:rsid w:val="00564DE7"/>
    <w:rsid w:val="005656C0"/>
    <w:rsid w:val="005662FC"/>
    <w:rsid w:val="00573F2E"/>
    <w:rsid w:val="0058183D"/>
    <w:rsid w:val="00583FB2"/>
    <w:rsid w:val="00584AAB"/>
    <w:rsid w:val="005877DF"/>
    <w:rsid w:val="005906FC"/>
    <w:rsid w:val="00592838"/>
    <w:rsid w:val="005929D2"/>
    <w:rsid w:val="0059548C"/>
    <w:rsid w:val="005974E1"/>
    <w:rsid w:val="005A00EC"/>
    <w:rsid w:val="005A1291"/>
    <w:rsid w:val="005A23A7"/>
    <w:rsid w:val="005A24E2"/>
    <w:rsid w:val="005A33A9"/>
    <w:rsid w:val="005A4254"/>
    <w:rsid w:val="005C17B2"/>
    <w:rsid w:val="005C6E16"/>
    <w:rsid w:val="005D0BFE"/>
    <w:rsid w:val="005D4901"/>
    <w:rsid w:val="005E0471"/>
    <w:rsid w:val="005E3A5F"/>
    <w:rsid w:val="005E5DCA"/>
    <w:rsid w:val="005E6F01"/>
    <w:rsid w:val="005F145E"/>
    <w:rsid w:val="00600734"/>
    <w:rsid w:val="006008CA"/>
    <w:rsid w:val="006019D7"/>
    <w:rsid w:val="006049BF"/>
    <w:rsid w:val="00604FD5"/>
    <w:rsid w:val="0060737B"/>
    <w:rsid w:val="00607D25"/>
    <w:rsid w:val="006111B0"/>
    <w:rsid w:val="006125B0"/>
    <w:rsid w:val="00612E43"/>
    <w:rsid w:val="00613A6A"/>
    <w:rsid w:val="00617A49"/>
    <w:rsid w:val="0062174A"/>
    <w:rsid w:val="006264A7"/>
    <w:rsid w:val="00635D84"/>
    <w:rsid w:val="00636146"/>
    <w:rsid w:val="006374FF"/>
    <w:rsid w:val="006433BD"/>
    <w:rsid w:val="0065325D"/>
    <w:rsid w:val="00655CD0"/>
    <w:rsid w:val="00657316"/>
    <w:rsid w:val="006578D3"/>
    <w:rsid w:val="00660637"/>
    <w:rsid w:val="00660DA5"/>
    <w:rsid w:val="00660E27"/>
    <w:rsid w:val="00665071"/>
    <w:rsid w:val="00665DBC"/>
    <w:rsid w:val="00670CF8"/>
    <w:rsid w:val="00671F71"/>
    <w:rsid w:val="00682EDF"/>
    <w:rsid w:val="006857E5"/>
    <w:rsid w:val="0069390E"/>
    <w:rsid w:val="006B15A0"/>
    <w:rsid w:val="006B3593"/>
    <w:rsid w:val="006B6848"/>
    <w:rsid w:val="006B6B29"/>
    <w:rsid w:val="006C0B81"/>
    <w:rsid w:val="006C77EB"/>
    <w:rsid w:val="006D1B44"/>
    <w:rsid w:val="006D25C3"/>
    <w:rsid w:val="006D7DE9"/>
    <w:rsid w:val="006E0BFA"/>
    <w:rsid w:val="006E39B2"/>
    <w:rsid w:val="006E4D82"/>
    <w:rsid w:val="006E5CAC"/>
    <w:rsid w:val="006E64FE"/>
    <w:rsid w:val="006F4A57"/>
    <w:rsid w:val="006F5A3C"/>
    <w:rsid w:val="006F5C5E"/>
    <w:rsid w:val="00700591"/>
    <w:rsid w:val="00704C52"/>
    <w:rsid w:val="00705E38"/>
    <w:rsid w:val="00706FAA"/>
    <w:rsid w:val="007110EA"/>
    <w:rsid w:val="00711FBD"/>
    <w:rsid w:val="00713D08"/>
    <w:rsid w:val="0071711D"/>
    <w:rsid w:val="00722973"/>
    <w:rsid w:val="0072411B"/>
    <w:rsid w:val="0072531A"/>
    <w:rsid w:val="00731717"/>
    <w:rsid w:val="00735914"/>
    <w:rsid w:val="00735C45"/>
    <w:rsid w:val="0074005B"/>
    <w:rsid w:val="007405DF"/>
    <w:rsid w:val="00741106"/>
    <w:rsid w:val="00744AE9"/>
    <w:rsid w:val="0075672B"/>
    <w:rsid w:val="0075674F"/>
    <w:rsid w:val="00761C9D"/>
    <w:rsid w:val="00764BBE"/>
    <w:rsid w:val="00774A9B"/>
    <w:rsid w:val="007759AF"/>
    <w:rsid w:val="00777CEE"/>
    <w:rsid w:val="00780294"/>
    <w:rsid w:val="00780ACE"/>
    <w:rsid w:val="00780C32"/>
    <w:rsid w:val="0078154B"/>
    <w:rsid w:val="00783867"/>
    <w:rsid w:val="007873C1"/>
    <w:rsid w:val="00793531"/>
    <w:rsid w:val="00795768"/>
    <w:rsid w:val="00796BEA"/>
    <w:rsid w:val="00797DD5"/>
    <w:rsid w:val="007A3E3D"/>
    <w:rsid w:val="007A5615"/>
    <w:rsid w:val="007A7F0A"/>
    <w:rsid w:val="007B3D1E"/>
    <w:rsid w:val="007B3FBF"/>
    <w:rsid w:val="007B795C"/>
    <w:rsid w:val="007C23E7"/>
    <w:rsid w:val="007C4E81"/>
    <w:rsid w:val="007C6974"/>
    <w:rsid w:val="007D0F40"/>
    <w:rsid w:val="007D1EA6"/>
    <w:rsid w:val="007D2B76"/>
    <w:rsid w:val="007E3885"/>
    <w:rsid w:val="007E49C4"/>
    <w:rsid w:val="007E5E46"/>
    <w:rsid w:val="007E6102"/>
    <w:rsid w:val="007E6F39"/>
    <w:rsid w:val="007E7466"/>
    <w:rsid w:val="007F0A7A"/>
    <w:rsid w:val="007F1CA7"/>
    <w:rsid w:val="007F4E58"/>
    <w:rsid w:val="007F621D"/>
    <w:rsid w:val="00802A80"/>
    <w:rsid w:val="00802E52"/>
    <w:rsid w:val="00803585"/>
    <w:rsid w:val="00805429"/>
    <w:rsid w:val="00806EF2"/>
    <w:rsid w:val="0081061E"/>
    <w:rsid w:val="00810EBC"/>
    <w:rsid w:val="008163A7"/>
    <w:rsid w:val="00816994"/>
    <w:rsid w:val="00820D49"/>
    <w:rsid w:val="00823BE7"/>
    <w:rsid w:val="00825E24"/>
    <w:rsid w:val="008325CD"/>
    <w:rsid w:val="00833886"/>
    <w:rsid w:val="008350B1"/>
    <w:rsid w:val="00844ACA"/>
    <w:rsid w:val="00844ECF"/>
    <w:rsid w:val="00850D18"/>
    <w:rsid w:val="00851674"/>
    <w:rsid w:val="00855C75"/>
    <w:rsid w:val="008566BE"/>
    <w:rsid w:val="0085720F"/>
    <w:rsid w:val="008574F3"/>
    <w:rsid w:val="008577B9"/>
    <w:rsid w:val="00860E05"/>
    <w:rsid w:val="0086104C"/>
    <w:rsid w:val="008627E5"/>
    <w:rsid w:val="00865142"/>
    <w:rsid w:val="00870DB8"/>
    <w:rsid w:val="008726AC"/>
    <w:rsid w:val="008748D8"/>
    <w:rsid w:val="00875F02"/>
    <w:rsid w:val="00883944"/>
    <w:rsid w:val="00884243"/>
    <w:rsid w:val="00884B98"/>
    <w:rsid w:val="00891326"/>
    <w:rsid w:val="00893516"/>
    <w:rsid w:val="00893FAC"/>
    <w:rsid w:val="00894679"/>
    <w:rsid w:val="0089705C"/>
    <w:rsid w:val="008B1D41"/>
    <w:rsid w:val="008B2E1B"/>
    <w:rsid w:val="008B3C67"/>
    <w:rsid w:val="008B3E0D"/>
    <w:rsid w:val="008B48D5"/>
    <w:rsid w:val="008B69F1"/>
    <w:rsid w:val="008B6FC8"/>
    <w:rsid w:val="008B729A"/>
    <w:rsid w:val="008C2EFC"/>
    <w:rsid w:val="008C7D05"/>
    <w:rsid w:val="008C7E24"/>
    <w:rsid w:val="008D284A"/>
    <w:rsid w:val="008D3999"/>
    <w:rsid w:val="008D3EB0"/>
    <w:rsid w:val="008D47AA"/>
    <w:rsid w:val="008D4FB9"/>
    <w:rsid w:val="008D5CC0"/>
    <w:rsid w:val="008E20BB"/>
    <w:rsid w:val="008E2A3E"/>
    <w:rsid w:val="008E2E54"/>
    <w:rsid w:val="008E37D3"/>
    <w:rsid w:val="008F5B80"/>
    <w:rsid w:val="008F75D0"/>
    <w:rsid w:val="00907076"/>
    <w:rsid w:val="00907314"/>
    <w:rsid w:val="0090733F"/>
    <w:rsid w:val="00910CB6"/>
    <w:rsid w:val="00910CEE"/>
    <w:rsid w:val="009203A5"/>
    <w:rsid w:val="0092061B"/>
    <w:rsid w:val="009216C5"/>
    <w:rsid w:val="009237C5"/>
    <w:rsid w:val="009250EF"/>
    <w:rsid w:val="00927D10"/>
    <w:rsid w:val="0093057F"/>
    <w:rsid w:val="0093098F"/>
    <w:rsid w:val="009361EB"/>
    <w:rsid w:val="00936914"/>
    <w:rsid w:val="00937B19"/>
    <w:rsid w:val="0094245D"/>
    <w:rsid w:val="009455C5"/>
    <w:rsid w:val="00947B39"/>
    <w:rsid w:val="00947C19"/>
    <w:rsid w:val="00950DDB"/>
    <w:rsid w:val="0095461D"/>
    <w:rsid w:val="00962D5D"/>
    <w:rsid w:val="00962FE7"/>
    <w:rsid w:val="00963EB2"/>
    <w:rsid w:val="009709CE"/>
    <w:rsid w:val="00971C82"/>
    <w:rsid w:val="009721E3"/>
    <w:rsid w:val="00973E75"/>
    <w:rsid w:val="00974407"/>
    <w:rsid w:val="00974423"/>
    <w:rsid w:val="00974A5B"/>
    <w:rsid w:val="00974BFE"/>
    <w:rsid w:val="009767AA"/>
    <w:rsid w:val="0098629B"/>
    <w:rsid w:val="00986674"/>
    <w:rsid w:val="00990ABF"/>
    <w:rsid w:val="009932C5"/>
    <w:rsid w:val="009A6B23"/>
    <w:rsid w:val="009A6CA2"/>
    <w:rsid w:val="009A7176"/>
    <w:rsid w:val="009A7916"/>
    <w:rsid w:val="009B4DC7"/>
    <w:rsid w:val="009C057A"/>
    <w:rsid w:val="009C0AF0"/>
    <w:rsid w:val="009C16F0"/>
    <w:rsid w:val="009C28E8"/>
    <w:rsid w:val="009C54BC"/>
    <w:rsid w:val="009C6FD0"/>
    <w:rsid w:val="009D2937"/>
    <w:rsid w:val="009D64BD"/>
    <w:rsid w:val="009D662A"/>
    <w:rsid w:val="009E5EBD"/>
    <w:rsid w:val="009E6DDA"/>
    <w:rsid w:val="009F1FCB"/>
    <w:rsid w:val="009F4236"/>
    <w:rsid w:val="009F540C"/>
    <w:rsid w:val="00A0022B"/>
    <w:rsid w:val="00A068FB"/>
    <w:rsid w:val="00A07585"/>
    <w:rsid w:val="00A10767"/>
    <w:rsid w:val="00A10C8F"/>
    <w:rsid w:val="00A10D00"/>
    <w:rsid w:val="00A1447E"/>
    <w:rsid w:val="00A179E5"/>
    <w:rsid w:val="00A17ED6"/>
    <w:rsid w:val="00A17EF7"/>
    <w:rsid w:val="00A2203F"/>
    <w:rsid w:val="00A23045"/>
    <w:rsid w:val="00A25080"/>
    <w:rsid w:val="00A27011"/>
    <w:rsid w:val="00A27D4B"/>
    <w:rsid w:val="00A27FA0"/>
    <w:rsid w:val="00A31D75"/>
    <w:rsid w:val="00A339EA"/>
    <w:rsid w:val="00A345E1"/>
    <w:rsid w:val="00A34ED5"/>
    <w:rsid w:val="00A35715"/>
    <w:rsid w:val="00A41E45"/>
    <w:rsid w:val="00A441B2"/>
    <w:rsid w:val="00A44F89"/>
    <w:rsid w:val="00A51B83"/>
    <w:rsid w:val="00A55A57"/>
    <w:rsid w:val="00A57862"/>
    <w:rsid w:val="00A64CDC"/>
    <w:rsid w:val="00A6523D"/>
    <w:rsid w:val="00A7564C"/>
    <w:rsid w:val="00A75F64"/>
    <w:rsid w:val="00A771C1"/>
    <w:rsid w:val="00A77A3D"/>
    <w:rsid w:val="00A806ED"/>
    <w:rsid w:val="00A846E2"/>
    <w:rsid w:val="00AA1AB6"/>
    <w:rsid w:val="00AA2D6A"/>
    <w:rsid w:val="00AA43D8"/>
    <w:rsid w:val="00AA7479"/>
    <w:rsid w:val="00AA7496"/>
    <w:rsid w:val="00AA78AB"/>
    <w:rsid w:val="00AA7919"/>
    <w:rsid w:val="00AB0289"/>
    <w:rsid w:val="00AB0D25"/>
    <w:rsid w:val="00AB34BE"/>
    <w:rsid w:val="00AB4FF2"/>
    <w:rsid w:val="00AB5752"/>
    <w:rsid w:val="00AB7996"/>
    <w:rsid w:val="00AC060C"/>
    <w:rsid w:val="00AC17C3"/>
    <w:rsid w:val="00AC1B12"/>
    <w:rsid w:val="00AC4784"/>
    <w:rsid w:val="00AC50B1"/>
    <w:rsid w:val="00AC606E"/>
    <w:rsid w:val="00AC6651"/>
    <w:rsid w:val="00AC7A87"/>
    <w:rsid w:val="00AD2992"/>
    <w:rsid w:val="00AD59BA"/>
    <w:rsid w:val="00AD685F"/>
    <w:rsid w:val="00AD703C"/>
    <w:rsid w:val="00AE15BF"/>
    <w:rsid w:val="00AE3214"/>
    <w:rsid w:val="00AE3D07"/>
    <w:rsid w:val="00AE6A4E"/>
    <w:rsid w:val="00AF229D"/>
    <w:rsid w:val="00AF234B"/>
    <w:rsid w:val="00B002B2"/>
    <w:rsid w:val="00B06095"/>
    <w:rsid w:val="00B06970"/>
    <w:rsid w:val="00B2437D"/>
    <w:rsid w:val="00B30480"/>
    <w:rsid w:val="00B34082"/>
    <w:rsid w:val="00B34272"/>
    <w:rsid w:val="00B34C94"/>
    <w:rsid w:val="00B366FF"/>
    <w:rsid w:val="00B36BD6"/>
    <w:rsid w:val="00B43FF5"/>
    <w:rsid w:val="00B45A27"/>
    <w:rsid w:val="00B5091E"/>
    <w:rsid w:val="00B51DD5"/>
    <w:rsid w:val="00B51FBA"/>
    <w:rsid w:val="00B533FE"/>
    <w:rsid w:val="00B55268"/>
    <w:rsid w:val="00B5749E"/>
    <w:rsid w:val="00B603DF"/>
    <w:rsid w:val="00B604DF"/>
    <w:rsid w:val="00B626C1"/>
    <w:rsid w:val="00B66F86"/>
    <w:rsid w:val="00B70CC4"/>
    <w:rsid w:val="00B72D75"/>
    <w:rsid w:val="00B73B66"/>
    <w:rsid w:val="00B770FB"/>
    <w:rsid w:val="00B775BC"/>
    <w:rsid w:val="00B82AE3"/>
    <w:rsid w:val="00B86194"/>
    <w:rsid w:val="00B90EF9"/>
    <w:rsid w:val="00B91539"/>
    <w:rsid w:val="00B92D7F"/>
    <w:rsid w:val="00B93190"/>
    <w:rsid w:val="00B9495E"/>
    <w:rsid w:val="00B97E9A"/>
    <w:rsid w:val="00BA3218"/>
    <w:rsid w:val="00BA51C8"/>
    <w:rsid w:val="00BA7363"/>
    <w:rsid w:val="00BB1FBF"/>
    <w:rsid w:val="00BB3241"/>
    <w:rsid w:val="00BC0CA9"/>
    <w:rsid w:val="00BC10E4"/>
    <w:rsid w:val="00BC267E"/>
    <w:rsid w:val="00BD2381"/>
    <w:rsid w:val="00BD59BE"/>
    <w:rsid w:val="00BD6206"/>
    <w:rsid w:val="00BD6E6B"/>
    <w:rsid w:val="00BE2A6E"/>
    <w:rsid w:val="00BF4E41"/>
    <w:rsid w:val="00BF6DBE"/>
    <w:rsid w:val="00C05EEE"/>
    <w:rsid w:val="00C10FD2"/>
    <w:rsid w:val="00C118FD"/>
    <w:rsid w:val="00C14629"/>
    <w:rsid w:val="00C15BB2"/>
    <w:rsid w:val="00C15D39"/>
    <w:rsid w:val="00C21DD5"/>
    <w:rsid w:val="00C266FB"/>
    <w:rsid w:val="00C35CD8"/>
    <w:rsid w:val="00C4528B"/>
    <w:rsid w:val="00C4563F"/>
    <w:rsid w:val="00C45840"/>
    <w:rsid w:val="00C45BDF"/>
    <w:rsid w:val="00C50D57"/>
    <w:rsid w:val="00C5121C"/>
    <w:rsid w:val="00C52F5E"/>
    <w:rsid w:val="00C53E5A"/>
    <w:rsid w:val="00C56F3D"/>
    <w:rsid w:val="00C60817"/>
    <w:rsid w:val="00C62EBF"/>
    <w:rsid w:val="00C66F90"/>
    <w:rsid w:val="00C73A07"/>
    <w:rsid w:val="00C74D15"/>
    <w:rsid w:val="00C831B3"/>
    <w:rsid w:val="00C87991"/>
    <w:rsid w:val="00C91F78"/>
    <w:rsid w:val="00C92140"/>
    <w:rsid w:val="00C943D1"/>
    <w:rsid w:val="00C94F6F"/>
    <w:rsid w:val="00C95057"/>
    <w:rsid w:val="00C96028"/>
    <w:rsid w:val="00CA1794"/>
    <w:rsid w:val="00CA7AC7"/>
    <w:rsid w:val="00CB1985"/>
    <w:rsid w:val="00CB2388"/>
    <w:rsid w:val="00CB2D9A"/>
    <w:rsid w:val="00CB6D69"/>
    <w:rsid w:val="00CC0FD9"/>
    <w:rsid w:val="00CC2800"/>
    <w:rsid w:val="00CC4A5C"/>
    <w:rsid w:val="00CC4C06"/>
    <w:rsid w:val="00CD4DB4"/>
    <w:rsid w:val="00CD5B84"/>
    <w:rsid w:val="00CD72B9"/>
    <w:rsid w:val="00CE0B3F"/>
    <w:rsid w:val="00CE0B4C"/>
    <w:rsid w:val="00CE1F00"/>
    <w:rsid w:val="00CE4E96"/>
    <w:rsid w:val="00CE6122"/>
    <w:rsid w:val="00CF066C"/>
    <w:rsid w:val="00D0000B"/>
    <w:rsid w:val="00D008A1"/>
    <w:rsid w:val="00D00E0E"/>
    <w:rsid w:val="00D026D1"/>
    <w:rsid w:val="00D03DEC"/>
    <w:rsid w:val="00D05D8B"/>
    <w:rsid w:val="00D07311"/>
    <w:rsid w:val="00D11221"/>
    <w:rsid w:val="00D11A53"/>
    <w:rsid w:val="00D11DA4"/>
    <w:rsid w:val="00D133EF"/>
    <w:rsid w:val="00D1365F"/>
    <w:rsid w:val="00D14434"/>
    <w:rsid w:val="00D15086"/>
    <w:rsid w:val="00D15EDD"/>
    <w:rsid w:val="00D23790"/>
    <w:rsid w:val="00D249BB"/>
    <w:rsid w:val="00D25E6A"/>
    <w:rsid w:val="00D279C8"/>
    <w:rsid w:val="00D32836"/>
    <w:rsid w:val="00D34E38"/>
    <w:rsid w:val="00D42CD6"/>
    <w:rsid w:val="00D45C1E"/>
    <w:rsid w:val="00D5104C"/>
    <w:rsid w:val="00D5355A"/>
    <w:rsid w:val="00D5425A"/>
    <w:rsid w:val="00D57542"/>
    <w:rsid w:val="00D609EE"/>
    <w:rsid w:val="00D61488"/>
    <w:rsid w:val="00D624F4"/>
    <w:rsid w:val="00D659D2"/>
    <w:rsid w:val="00D70CE6"/>
    <w:rsid w:val="00D74074"/>
    <w:rsid w:val="00D75889"/>
    <w:rsid w:val="00D759AA"/>
    <w:rsid w:val="00D779FD"/>
    <w:rsid w:val="00D868AF"/>
    <w:rsid w:val="00D91355"/>
    <w:rsid w:val="00D92EFC"/>
    <w:rsid w:val="00D933B2"/>
    <w:rsid w:val="00D94EE4"/>
    <w:rsid w:val="00D962C0"/>
    <w:rsid w:val="00DA4254"/>
    <w:rsid w:val="00DA4D2C"/>
    <w:rsid w:val="00DB155A"/>
    <w:rsid w:val="00DB2085"/>
    <w:rsid w:val="00DB2322"/>
    <w:rsid w:val="00DB25F1"/>
    <w:rsid w:val="00DB4A23"/>
    <w:rsid w:val="00DB4C65"/>
    <w:rsid w:val="00DC1C1A"/>
    <w:rsid w:val="00DC2BB8"/>
    <w:rsid w:val="00DC5B36"/>
    <w:rsid w:val="00DD00DB"/>
    <w:rsid w:val="00DD18DE"/>
    <w:rsid w:val="00DD7C1D"/>
    <w:rsid w:val="00DE37F9"/>
    <w:rsid w:val="00DE505B"/>
    <w:rsid w:val="00DE56AE"/>
    <w:rsid w:val="00DE6A88"/>
    <w:rsid w:val="00DF063C"/>
    <w:rsid w:val="00DF5174"/>
    <w:rsid w:val="00DF5CC3"/>
    <w:rsid w:val="00E0381D"/>
    <w:rsid w:val="00E13D53"/>
    <w:rsid w:val="00E13FCC"/>
    <w:rsid w:val="00E15F10"/>
    <w:rsid w:val="00E21776"/>
    <w:rsid w:val="00E21AA8"/>
    <w:rsid w:val="00E22EFC"/>
    <w:rsid w:val="00E25193"/>
    <w:rsid w:val="00E30868"/>
    <w:rsid w:val="00E310C1"/>
    <w:rsid w:val="00E33823"/>
    <w:rsid w:val="00E34B50"/>
    <w:rsid w:val="00E37060"/>
    <w:rsid w:val="00E42151"/>
    <w:rsid w:val="00E4295C"/>
    <w:rsid w:val="00E450CB"/>
    <w:rsid w:val="00E54447"/>
    <w:rsid w:val="00E5684E"/>
    <w:rsid w:val="00E5750A"/>
    <w:rsid w:val="00E71531"/>
    <w:rsid w:val="00E71AD6"/>
    <w:rsid w:val="00E73474"/>
    <w:rsid w:val="00E7622E"/>
    <w:rsid w:val="00E82543"/>
    <w:rsid w:val="00E94354"/>
    <w:rsid w:val="00E97317"/>
    <w:rsid w:val="00EA1140"/>
    <w:rsid w:val="00EA3D68"/>
    <w:rsid w:val="00EA5BCB"/>
    <w:rsid w:val="00EA77A9"/>
    <w:rsid w:val="00EA7FAB"/>
    <w:rsid w:val="00EB1ED6"/>
    <w:rsid w:val="00EB31BC"/>
    <w:rsid w:val="00EB61E4"/>
    <w:rsid w:val="00EC2301"/>
    <w:rsid w:val="00EC6498"/>
    <w:rsid w:val="00EC72D8"/>
    <w:rsid w:val="00EC7672"/>
    <w:rsid w:val="00ED4383"/>
    <w:rsid w:val="00ED44C2"/>
    <w:rsid w:val="00ED769D"/>
    <w:rsid w:val="00EE30BE"/>
    <w:rsid w:val="00EE4252"/>
    <w:rsid w:val="00EF13F2"/>
    <w:rsid w:val="00F01CBC"/>
    <w:rsid w:val="00F025E5"/>
    <w:rsid w:val="00F06C1B"/>
    <w:rsid w:val="00F10DD1"/>
    <w:rsid w:val="00F10F9F"/>
    <w:rsid w:val="00F13B9A"/>
    <w:rsid w:val="00F2261E"/>
    <w:rsid w:val="00F26B20"/>
    <w:rsid w:val="00F30985"/>
    <w:rsid w:val="00F32295"/>
    <w:rsid w:val="00F330B6"/>
    <w:rsid w:val="00F3668B"/>
    <w:rsid w:val="00F418C8"/>
    <w:rsid w:val="00F43C4E"/>
    <w:rsid w:val="00F47420"/>
    <w:rsid w:val="00F50003"/>
    <w:rsid w:val="00F5701F"/>
    <w:rsid w:val="00F57A19"/>
    <w:rsid w:val="00F6675D"/>
    <w:rsid w:val="00F7298E"/>
    <w:rsid w:val="00F730AC"/>
    <w:rsid w:val="00F7392C"/>
    <w:rsid w:val="00F73C2B"/>
    <w:rsid w:val="00F74F01"/>
    <w:rsid w:val="00F77B90"/>
    <w:rsid w:val="00F806DC"/>
    <w:rsid w:val="00F878BE"/>
    <w:rsid w:val="00F91B3A"/>
    <w:rsid w:val="00F92778"/>
    <w:rsid w:val="00F94067"/>
    <w:rsid w:val="00F951BC"/>
    <w:rsid w:val="00FA1BD3"/>
    <w:rsid w:val="00FA356E"/>
    <w:rsid w:val="00FA42DF"/>
    <w:rsid w:val="00FA5081"/>
    <w:rsid w:val="00FA76A2"/>
    <w:rsid w:val="00FB3837"/>
    <w:rsid w:val="00FB5C96"/>
    <w:rsid w:val="00FC14D7"/>
    <w:rsid w:val="00FC646F"/>
    <w:rsid w:val="00FC7537"/>
    <w:rsid w:val="00FD097A"/>
    <w:rsid w:val="00FD244F"/>
    <w:rsid w:val="00FD4D12"/>
    <w:rsid w:val="00FD5D7A"/>
    <w:rsid w:val="00FD5E7B"/>
    <w:rsid w:val="00FE2155"/>
    <w:rsid w:val="00FE37F8"/>
    <w:rsid w:val="00FE3DED"/>
    <w:rsid w:val="00FF0628"/>
    <w:rsid w:val="00FF393C"/>
    <w:rsid w:val="00FF74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86b0be"/>
    </o:shapedefaults>
    <o:shapelayout v:ext="edit">
      <o:idmap v:ext="edit" data="2"/>
    </o:shapelayout>
  </w:shapeDefaults>
  <w:decimalSymbol w:val="."/>
  <w:listSeparator w:val=","/>
  <w14:docId w14:val="401A61D6"/>
  <w15:docId w15:val="{4066B584-689D-4D94-B388-1C566E13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54F3"/>
    <w:pPr>
      <w:spacing w:after="0" w:line="240" w:lineRule="auto"/>
    </w:pPr>
    <w:rPr>
      <w:rFonts w:ascii="Arial" w:hAnsi="Arial" w:cs="Arial"/>
      <w:sz w:val="24"/>
      <w:szCs w:val="24"/>
    </w:rPr>
  </w:style>
  <w:style w:type="paragraph" w:styleId="Heading1">
    <w:name w:val="heading 1"/>
    <w:basedOn w:val="Normal"/>
    <w:next w:val="Normal"/>
    <w:link w:val="Heading1Char"/>
    <w:uiPriority w:val="9"/>
    <w:qFormat/>
    <w:rsid w:val="001954F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qFormat/>
    <w:rsid w:val="001954F3"/>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54F3"/>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unhideWhenUsed/>
    <w:qFormat/>
    <w:rsid w:val="001954F3"/>
    <w:pPr>
      <w:keepNext/>
      <w:keepLines/>
      <w:spacing w:before="40"/>
      <w:outlineLvl w:val="3"/>
    </w:pPr>
    <w:rPr>
      <w:rFonts w:eastAsiaTheme="majorEastAsia"/>
      <w:i/>
      <w:iCs/>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954F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1954F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1954F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1954F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spacing w:line="280" w:lineRule="atLeast"/>
    </w:pPr>
    <w:rPr>
      <w:sz w:val="20"/>
    </w:rPr>
  </w:style>
  <w:style w:type="paragraph" w:styleId="Footer">
    <w:name w:val="footer"/>
    <w:basedOn w:val="Normal"/>
    <w:link w:val="FooterChar"/>
    <w:uiPriority w:val="99"/>
    <w:pPr>
      <w:tabs>
        <w:tab w:val="center" w:pos="4320"/>
        <w:tab w:val="right" w:pos="8640"/>
      </w:tabs>
      <w:spacing w:line="280" w:lineRule="atLeast"/>
    </w:pPr>
    <w:rPr>
      <w:sz w:val="20"/>
    </w:rPr>
  </w:style>
  <w:style w:type="paragraph" w:styleId="ListBullet">
    <w:name w:val="List Bullet"/>
    <w:basedOn w:val="Normal"/>
    <w:pPr>
      <w:numPr>
        <w:numId w:val="10"/>
      </w:numPr>
    </w:pPr>
  </w:style>
  <w:style w:type="paragraph" w:customStyle="1" w:styleId="NormalBold">
    <w:name w:val="Normal Bold"/>
    <w:basedOn w:val="Normal"/>
    <w:next w:val="Normal"/>
    <w:rPr>
      <w:b/>
    </w:rPr>
  </w:style>
  <w:style w:type="paragraph" w:customStyle="1" w:styleId="Filename">
    <w:name w:val="Filename"/>
    <w:basedOn w:val="Header"/>
    <w:next w:val="Header"/>
    <w:rPr>
      <w:sz w:val="16"/>
    </w:rPr>
  </w:style>
  <w:style w:type="paragraph" w:customStyle="1" w:styleId="Filenameandpath">
    <w:name w:val="Filename and path"/>
    <w:basedOn w:val="Normal"/>
    <w:pPr>
      <w:spacing w:line="280" w:lineRule="atLeast"/>
    </w:pPr>
    <w:rPr>
      <w:sz w:val="16"/>
    </w:rPr>
  </w:style>
  <w:style w:type="paragraph" w:customStyle="1" w:styleId="Subject">
    <w:name w:val="Subject"/>
    <w:basedOn w:val="Subheading"/>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line="280" w:lineRule="atLeast"/>
    </w:pPr>
    <w:rPr>
      <w:sz w:val="20"/>
      <w:szCs w:val="20"/>
    </w:rPr>
  </w:style>
  <w:style w:type="character" w:styleId="Hyperlink">
    <w:name w:val="Hyperlink"/>
    <w:basedOn w:val="DefaultParagraphFont"/>
    <w:rPr>
      <w:color w:val="0000FF"/>
      <w:u w:val="single"/>
    </w:rPr>
  </w:style>
  <w:style w:type="paragraph" w:styleId="ListNumber">
    <w:name w:val="List Number"/>
    <w:basedOn w:val="Normal"/>
    <w:pPr>
      <w:numPr>
        <w:numId w:val="12"/>
      </w:numPr>
      <w:tabs>
        <w:tab w:val="clear" w:pos="360"/>
        <w:tab w:val="num" w:pos="454"/>
      </w:tabs>
      <w:ind w:left="454" w:hanging="454"/>
    </w:pPr>
  </w:style>
  <w:style w:type="paragraph" w:customStyle="1" w:styleId="Subheading">
    <w:name w:val="Subheading"/>
    <w:basedOn w:val="ListParagraph"/>
    <w:qFormat/>
    <w:rsid w:val="001954F3"/>
    <w:pPr>
      <w:ind w:left="0"/>
    </w:pPr>
    <w:rPr>
      <w:b/>
      <w:sz w:val="32"/>
    </w:rPr>
  </w:style>
  <w:style w:type="paragraph" w:customStyle="1" w:styleId="Tablenormal0">
    <w:name w:val="Table normal"/>
    <w:pPr>
      <w:spacing w:before="80" w:line="280" w:lineRule="atLeast"/>
    </w:pPr>
    <w:rPr>
      <w:rFonts w:ascii="Arial" w:hAnsi="Arial"/>
      <w:sz w:val="24"/>
      <w:lang w:eastAsia="en-US"/>
    </w:rPr>
  </w:style>
  <w:style w:type="paragraph" w:customStyle="1" w:styleId="Tablebold">
    <w:name w:val="Table bold"/>
    <w:basedOn w:val="Tablenormal0"/>
    <w:next w:val="Tablenormal0"/>
    <w:rPr>
      <w:b/>
    </w:rPr>
  </w:style>
  <w:style w:type="paragraph" w:customStyle="1" w:styleId="Tableheadings">
    <w:name w:val="Table headings"/>
    <w:basedOn w:val="Tablenormal0"/>
    <w:pPr>
      <w:spacing w:before="0" w:line="240" w:lineRule="auto"/>
    </w:pPr>
    <w:rPr>
      <w:b/>
      <w:sz w:val="28"/>
    </w:rPr>
  </w:style>
  <w:style w:type="paragraph" w:customStyle="1" w:styleId="Tablenumbered">
    <w:name w:val="Table numbered"/>
    <w:basedOn w:val="Tablenormal0"/>
    <w:next w:val="Tablenormal0"/>
    <w:pPr>
      <w:numPr>
        <w:numId w:val="13"/>
      </w:numPr>
    </w:pPr>
  </w:style>
  <w:style w:type="paragraph" w:styleId="Title">
    <w:name w:val="Title"/>
    <w:basedOn w:val="Normal"/>
    <w:next w:val="Normal"/>
    <w:link w:val="TitleChar"/>
    <w:autoRedefine/>
    <w:uiPriority w:val="10"/>
    <w:qFormat/>
    <w:rsid w:val="001954F3"/>
    <w:pPr>
      <w:pBdr>
        <w:bottom w:val="single" w:sz="8" w:space="4" w:color="4E1965"/>
      </w:pBdr>
      <w:spacing w:after="300"/>
      <w:contextualSpacing/>
    </w:pPr>
    <w:rPr>
      <w:rFonts w:eastAsiaTheme="majorEastAsia" w:cstheme="majorBidi"/>
      <w:b/>
      <w:color w:val="4E1965"/>
      <w:spacing w:val="5"/>
      <w:kern w:val="28"/>
      <w:sz w:val="40"/>
      <w:szCs w:val="40"/>
    </w:rPr>
  </w:style>
  <w:style w:type="paragraph" w:styleId="ListBullet2">
    <w:name w:val="List Bullet 2"/>
    <w:basedOn w:val="Normal"/>
    <w:pPr>
      <w:numPr>
        <w:numId w:val="16"/>
      </w:numPr>
      <w:tabs>
        <w:tab w:val="left" w:pos="397"/>
      </w:tabs>
    </w:pPr>
  </w:style>
  <w:style w:type="paragraph" w:styleId="ListNumber3">
    <w:name w:val="List Number 3"/>
    <w:basedOn w:val="Normal"/>
    <w:pPr>
      <w:numPr>
        <w:numId w:val="18"/>
      </w:numPr>
    </w:pPr>
  </w:style>
  <w:style w:type="paragraph" w:styleId="ListNumber2">
    <w:name w:val="List Number 2"/>
    <w:basedOn w:val="Normal"/>
    <w:pPr>
      <w:numPr>
        <w:numId w:val="17"/>
      </w:numPr>
    </w:pPr>
  </w:style>
  <w:style w:type="character" w:customStyle="1" w:styleId="Heading1Char">
    <w:name w:val="Heading 1 Char"/>
    <w:basedOn w:val="DefaultParagraphFont"/>
    <w:link w:val="Heading1"/>
    <w:uiPriority w:val="9"/>
    <w:rsid w:val="001954F3"/>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1954F3"/>
    <w:rPr>
      <w:rFonts w:ascii="Arial" w:eastAsiaTheme="majorEastAsia" w:hAnsi="Arial" w:cstheme="majorBidi"/>
      <w:b/>
      <w:bCs/>
      <w:sz w:val="24"/>
      <w:szCs w:val="26"/>
    </w:rPr>
  </w:style>
  <w:style w:type="character" w:customStyle="1" w:styleId="Heading3Char">
    <w:name w:val="Heading 3 Char"/>
    <w:basedOn w:val="DefaultParagraphFont"/>
    <w:link w:val="Heading3"/>
    <w:uiPriority w:val="9"/>
    <w:rsid w:val="001954F3"/>
    <w:rPr>
      <w:rFonts w:ascii="Arial" w:eastAsiaTheme="majorEastAsia" w:hAnsi="Arial" w:cstheme="majorBidi"/>
      <w:b/>
      <w:bCs/>
      <w:i/>
      <w:sz w:val="24"/>
      <w:szCs w:val="24"/>
    </w:rPr>
  </w:style>
  <w:style w:type="character" w:customStyle="1" w:styleId="Heading4Char">
    <w:name w:val="Heading 4 Char"/>
    <w:basedOn w:val="DefaultParagraphFont"/>
    <w:link w:val="Heading4"/>
    <w:uiPriority w:val="9"/>
    <w:rsid w:val="001954F3"/>
    <w:rPr>
      <w:rFonts w:ascii="Arial" w:eastAsiaTheme="majorEastAsia" w:hAnsi="Arial" w:cs="Arial"/>
      <w:i/>
      <w:iCs/>
      <w:sz w:val="24"/>
      <w:szCs w:val="24"/>
    </w:rPr>
  </w:style>
  <w:style w:type="character" w:customStyle="1" w:styleId="Heading6Char">
    <w:name w:val="Heading 6 Char"/>
    <w:basedOn w:val="DefaultParagraphFont"/>
    <w:link w:val="Heading6"/>
    <w:uiPriority w:val="9"/>
    <w:rsid w:val="001954F3"/>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rsid w:val="001954F3"/>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rsid w:val="001954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1954F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954F3"/>
    <w:rPr>
      <w:i/>
      <w:iCs/>
      <w:color w:val="1F497D" w:themeColor="text2"/>
      <w:sz w:val="18"/>
      <w:szCs w:val="18"/>
    </w:rPr>
  </w:style>
  <w:style w:type="character" w:customStyle="1" w:styleId="TitleChar">
    <w:name w:val="Title Char"/>
    <w:basedOn w:val="DefaultParagraphFont"/>
    <w:link w:val="Title"/>
    <w:uiPriority w:val="10"/>
    <w:rsid w:val="001954F3"/>
    <w:rPr>
      <w:rFonts w:ascii="Arial" w:eastAsiaTheme="majorEastAsia" w:hAnsi="Arial" w:cstheme="majorBidi"/>
      <w:b/>
      <w:color w:val="4E1965"/>
      <w:spacing w:val="5"/>
      <w:kern w:val="28"/>
      <w:sz w:val="40"/>
      <w:szCs w:val="40"/>
    </w:rPr>
  </w:style>
  <w:style w:type="paragraph" w:styleId="NoSpacing">
    <w:name w:val="No Spacing"/>
    <w:uiPriority w:val="1"/>
    <w:qFormat/>
    <w:rsid w:val="001954F3"/>
    <w:pPr>
      <w:spacing w:after="0" w:line="240" w:lineRule="auto"/>
    </w:pPr>
    <w:rPr>
      <w:rFonts w:ascii="Arial" w:hAnsi="Arial" w:cs="Arial"/>
      <w:sz w:val="24"/>
      <w:szCs w:val="24"/>
    </w:rPr>
  </w:style>
  <w:style w:type="paragraph" w:styleId="ListParagraph">
    <w:name w:val="List Paragraph"/>
    <w:basedOn w:val="Normal"/>
    <w:uiPriority w:val="34"/>
    <w:qFormat/>
    <w:rsid w:val="001954F3"/>
    <w:pPr>
      <w:ind w:left="720"/>
      <w:contextualSpacing/>
    </w:pPr>
  </w:style>
  <w:style w:type="paragraph" w:styleId="Quote">
    <w:name w:val="Quote"/>
    <w:basedOn w:val="Normal"/>
    <w:next w:val="Normal"/>
    <w:link w:val="QuoteChar"/>
    <w:uiPriority w:val="29"/>
    <w:qFormat/>
    <w:rsid w:val="001954F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954F3"/>
    <w:rPr>
      <w:rFonts w:ascii="Arial" w:hAnsi="Arial" w:cs="Arial"/>
      <w:i/>
      <w:iCs/>
      <w:color w:val="404040" w:themeColor="text1" w:themeTint="BF"/>
      <w:sz w:val="24"/>
      <w:szCs w:val="24"/>
    </w:rPr>
  </w:style>
  <w:style w:type="paragraph" w:styleId="IntenseQuote">
    <w:name w:val="Intense Quote"/>
    <w:basedOn w:val="Normal"/>
    <w:next w:val="Normal"/>
    <w:link w:val="IntenseQuoteChar"/>
    <w:uiPriority w:val="30"/>
    <w:qFormat/>
    <w:rsid w:val="001954F3"/>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1954F3"/>
    <w:rPr>
      <w:rFonts w:ascii="Arial" w:hAnsi="Arial" w:cs="Arial"/>
      <w:i/>
      <w:iCs/>
      <w:color w:val="4E1965"/>
      <w:sz w:val="24"/>
      <w:szCs w:val="24"/>
    </w:rPr>
  </w:style>
  <w:style w:type="character" w:styleId="IntenseEmphasis">
    <w:name w:val="Intense Emphasis"/>
    <w:basedOn w:val="DefaultParagraphFont"/>
    <w:uiPriority w:val="21"/>
    <w:qFormat/>
    <w:rsid w:val="001954F3"/>
    <w:rPr>
      <w:i/>
      <w:iCs/>
      <w:color w:val="4E1965"/>
    </w:rPr>
  </w:style>
  <w:style w:type="paragraph" w:styleId="TOCHeading">
    <w:name w:val="TOC Heading"/>
    <w:basedOn w:val="Heading1"/>
    <w:next w:val="Normal"/>
    <w:uiPriority w:val="39"/>
    <w:semiHidden/>
    <w:unhideWhenUsed/>
    <w:qFormat/>
    <w:rsid w:val="001954F3"/>
    <w:pPr>
      <w:outlineLvl w:val="9"/>
    </w:pPr>
    <w:rPr>
      <w:rFonts w:asciiTheme="majorHAnsi" w:hAnsiTheme="majorHAnsi"/>
      <w:color w:val="365F91" w:themeColor="accent1" w:themeShade="BF"/>
      <w:lang w:eastAsia="ja-JP"/>
    </w:rPr>
  </w:style>
  <w:style w:type="character" w:customStyle="1" w:styleId="HeaderChar">
    <w:name w:val="Header Char"/>
    <w:basedOn w:val="DefaultParagraphFont"/>
    <w:link w:val="Header"/>
    <w:rsid w:val="00397A37"/>
    <w:rPr>
      <w:rFonts w:ascii="Arial" w:hAnsi="Arial" w:cs="Arial"/>
      <w:sz w:val="20"/>
      <w:szCs w:val="24"/>
    </w:rPr>
  </w:style>
  <w:style w:type="table" w:styleId="TableGrid">
    <w:name w:val="Table Grid"/>
    <w:basedOn w:val="TableNormal"/>
    <w:uiPriority w:val="39"/>
    <w:rsid w:val="003E5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5">
    <w:name w:val="Grid Table 3 Accent 5"/>
    <w:basedOn w:val="TableNormal"/>
    <w:uiPriority w:val="48"/>
    <w:rsid w:val="003E53B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BalloonText">
    <w:name w:val="Balloon Text"/>
    <w:basedOn w:val="Normal"/>
    <w:link w:val="BalloonTextChar"/>
    <w:semiHidden/>
    <w:unhideWhenUsed/>
    <w:rsid w:val="00D11221"/>
    <w:rPr>
      <w:rFonts w:ascii="Segoe UI" w:hAnsi="Segoe UI" w:cs="Segoe UI"/>
      <w:sz w:val="18"/>
      <w:szCs w:val="18"/>
    </w:rPr>
  </w:style>
  <w:style w:type="character" w:customStyle="1" w:styleId="BalloonTextChar">
    <w:name w:val="Balloon Text Char"/>
    <w:basedOn w:val="DefaultParagraphFont"/>
    <w:link w:val="BalloonText"/>
    <w:semiHidden/>
    <w:rsid w:val="00D11221"/>
    <w:rPr>
      <w:rFonts w:ascii="Segoe UI" w:hAnsi="Segoe UI" w:cs="Segoe UI"/>
      <w:sz w:val="18"/>
      <w:szCs w:val="18"/>
    </w:rPr>
  </w:style>
  <w:style w:type="character" w:styleId="CommentReference">
    <w:name w:val="annotation reference"/>
    <w:basedOn w:val="DefaultParagraphFont"/>
    <w:semiHidden/>
    <w:unhideWhenUsed/>
    <w:rsid w:val="00395984"/>
    <w:rPr>
      <w:sz w:val="16"/>
      <w:szCs w:val="16"/>
    </w:rPr>
  </w:style>
  <w:style w:type="paragraph" w:styleId="CommentText">
    <w:name w:val="annotation text"/>
    <w:basedOn w:val="Normal"/>
    <w:link w:val="CommentTextChar"/>
    <w:unhideWhenUsed/>
    <w:rsid w:val="00395984"/>
    <w:rPr>
      <w:sz w:val="20"/>
      <w:szCs w:val="20"/>
    </w:rPr>
  </w:style>
  <w:style w:type="character" w:customStyle="1" w:styleId="CommentTextChar">
    <w:name w:val="Comment Text Char"/>
    <w:basedOn w:val="DefaultParagraphFont"/>
    <w:link w:val="CommentText"/>
    <w:rsid w:val="00395984"/>
    <w:rPr>
      <w:rFonts w:ascii="Arial" w:hAnsi="Arial" w:cs="Arial"/>
      <w:sz w:val="20"/>
      <w:szCs w:val="20"/>
    </w:rPr>
  </w:style>
  <w:style w:type="paragraph" w:styleId="CommentSubject">
    <w:name w:val="annotation subject"/>
    <w:basedOn w:val="CommentText"/>
    <w:next w:val="CommentText"/>
    <w:link w:val="CommentSubjectChar"/>
    <w:semiHidden/>
    <w:unhideWhenUsed/>
    <w:rsid w:val="00395984"/>
    <w:rPr>
      <w:b/>
      <w:bCs/>
    </w:rPr>
  </w:style>
  <w:style w:type="character" w:customStyle="1" w:styleId="CommentSubjectChar">
    <w:name w:val="Comment Subject Char"/>
    <w:basedOn w:val="CommentTextChar"/>
    <w:link w:val="CommentSubject"/>
    <w:semiHidden/>
    <w:rsid w:val="00395984"/>
    <w:rPr>
      <w:rFonts w:ascii="Arial" w:hAnsi="Arial" w:cs="Arial"/>
      <w:b/>
      <w:bCs/>
      <w:sz w:val="20"/>
      <w:szCs w:val="20"/>
    </w:rPr>
  </w:style>
  <w:style w:type="character" w:styleId="UnresolvedMention">
    <w:name w:val="Unresolved Mention"/>
    <w:basedOn w:val="DefaultParagraphFont"/>
    <w:uiPriority w:val="99"/>
    <w:unhideWhenUsed/>
    <w:rsid w:val="0075674F"/>
    <w:rPr>
      <w:color w:val="605E5C"/>
      <w:shd w:val="clear" w:color="auto" w:fill="E1DFDD"/>
    </w:rPr>
  </w:style>
  <w:style w:type="character" w:styleId="Mention">
    <w:name w:val="Mention"/>
    <w:basedOn w:val="DefaultParagraphFont"/>
    <w:uiPriority w:val="99"/>
    <w:unhideWhenUsed/>
    <w:rsid w:val="0075674F"/>
    <w:rPr>
      <w:color w:val="2B579A"/>
      <w:shd w:val="clear" w:color="auto" w:fill="E1DFDD"/>
    </w:rPr>
  </w:style>
  <w:style w:type="character" w:customStyle="1" w:styleId="ui-provider">
    <w:name w:val="ui-provider"/>
    <w:basedOn w:val="DefaultParagraphFont"/>
    <w:rsid w:val="009A6B23"/>
  </w:style>
  <w:style w:type="character" w:customStyle="1" w:styleId="FooterChar">
    <w:name w:val="Footer Char"/>
    <w:basedOn w:val="DefaultParagraphFont"/>
    <w:link w:val="Footer"/>
    <w:uiPriority w:val="99"/>
    <w:rsid w:val="00291AAD"/>
    <w:rPr>
      <w:rFonts w:ascii="Arial" w:hAnsi="Arial" w:cs="Arial"/>
      <w:sz w:val="20"/>
      <w:szCs w:val="24"/>
    </w:rPr>
  </w:style>
  <w:style w:type="paragraph" w:customStyle="1" w:styleId="NumberedlistHTA">
    <w:name w:val="Numbered list HTA"/>
    <w:basedOn w:val="Normal"/>
    <w:link w:val="NumberedlistHTAChar"/>
    <w:qFormat/>
    <w:rsid w:val="00291AAD"/>
    <w:pPr>
      <w:numPr>
        <w:numId w:val="34"/>
      </w:numPr>
      <w:spacing w:after="240" w:line="259" w:lineRule="auto"/>
    </w:pPr>
    <w:rPr>
      <w:rFonts w:eastAsia="Batang"/>
      <w:color w:val="000000" w:themeColor="text1"/>
      <w:lang w:eastAsia="en-US"/>
    </w:rPr>
  </w:style>
  <w:style w:type="character" w:customStyle="1" w:styleId="NumberedlistHTAChar">
    <w:name w:val="Numbered list HTA Char"/>
    <w:basedOn w:val="DefaultParagraphFont"/>
    <w:link w:val="NumberedlistHTA"/>
    <w:rsid w:val="00291AAD"/>
    <w:rPr>
      <w:rFonts w:ascii="Arial" w:eastAsia="Batang" w:hAnsi="Arial" w:cs="Arial"/>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766">
      <w:bodyDiv w:val="1"/>
      <w:marLeft w:val="0"/>
      <w:marRight w:val="0"/>
      <w:marTop w:val="0"/>
      <w:marBottom w:val="0"/>
      <w:divBdr>
        <w:top w:val="none" w:sz="0" w:space="0" w:color="auto"/>
        <w:left w:val="none" w:sz="0" w:space="0" w:color="auto"/>
        <w:bottom w:val="none" w:sz="0" w:space="0" w:color="auto"/>
        <w:right w:val="none" w:sz="0" w:space="0" w:color="auto"/>
      </w:divBdr>
    </w:div>
    <w:div w:id="1870407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Retention_x005f_x0020_Date xmlns="da565c07-dda8-49d0-af77-97162e211c3a" xsi:nil="true"/>
    <Review_x005f_x0020_Date xmlns="da565c07-dda8-49d0-af77-97162e211c3a" xsi:nil="true"/>
    <_dlc_DocId xmlns="da565c07-dda8-49d0-af77-97162e211c3a">AD75TJCKWPSD-1767322064-25234</_dlc_DocId>
    <_dlc_DocIdUrl xmlns="da565c07-dda8-49d0-af77-97162e211c3a">
      <Url>https://htagovuk.sharepoint.com/sites/edrms/qm/_layouts/15/DocIdRedir.aspx?ID=AD75TJCKWPSD-1767322064-25234</Url>
      <Description>AD75TJCKWPSD-1767322064-25234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RAC Paper" ma:contentTypeID="0x01010070FA452D68FE2C4C857151ED38B1EED9AC0017332BDA34AE94498D665E83FB436E94" ma:contentTypeVersion="31" ma:contentTypeDescription="" ma:contentTypeScope="" ma:versionID="25ef8c6c0330bd22a445b921f0b961a3">
  <xsd:schema xmlns:xsd="http://www.w3.org/2001/XMLSchema" xmlns:xs="http://www.w3.org/2001/XMLSchema" xmlns:p="http://schemas.microsoft.com/office/2006/metadata/properties" xmlns:ns2="da565c07-dda8-49d0-af77-97162e211c3a" targetNamespace="http://schemas.microsoft.com/office/2006/metadata/properties" ma:root="true" ma:fieldsID="05b2737caaae96c56dec8ccf22429567" ns2:_="">
    <xsd:import namespace="da565c07-dda8-49d0-af77-97162e211c3a"/>
    <xsd:element name="properties">
      <xsd:complexType>
        <xsd:sequence>
          <xsd:element name="documentManagement">
            <xsd:complexType>
              <xsd:all>
                <xsd:element ref="ns2:Retention_x005f_x0020_Date" minOccurs="0"/>
                <xsd:element ref="ns2:Review_x005f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Retention_x005f_x0020_Date" ma:index="8" nillable="true" ma:displayName="Retention Date" ma:format="DateOnly" ma:internalName="Retention_x0020_Date" ma:readOnly="false">
      <xsd:simpleType>
        <xsd:restriction base="dms:DateTime"/>
      </xsd:simpleType>
    </xsd:element>
    <xsd:element name="Review_x005f_x0020_Date" ma:index="9" nillable="true" ma:displayName="Review Date" ma:format="DateOnly" ma:internalName="Review_x0020_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801D0B-918D-424C-A66F-7FAACE3AB7A5}">
  <ds:schemaRefs>
    <ds:schemaRef ds:uri="http://schemas.microsoft.com/sharepoint/events"/>
  </ds:schemaRefs>
</ds:datastoreItem>
</file>

<file path=customXml/itemProps2.xml><?xml version="1.0" encoding="utf-8"?>
<ds:datastoreItem xmlns:ds="http://schemas.openxmlformats.org/officeDocument/2006/customXml" ds:itemID="{321A7CD2-E5D8-4278-94A8-168222949EA8}">
  <ds:schemaRefs>
    <ds:schemaRef ds:uri="http://purl.org/dc/elements/1.1/"/>
    <ds:schemaRef ds:uri="http://purl.org/dc/dcmitype/"/>
    <ds:schemaRef ds:uri="da565c07-dda8-49d0-af77-97162e211c3a"/>
    <ds:schemaRef ds:uri="http://purl.org/dc/term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E07083B5-2C79-4EBE-8631-688D0353FD65}">
  <ds:schemaRefs>
    <ds:schemaRef ds:uri="http://schemas.openxmlformats.org/officeDocument/2006/bibliography"/>
  </ds:schemaRefs>
</ds:datastoreItem>
</file>

<file path=customXml/itemProps4.xml><?xml version="1.0" encoding="utf-8"?>
<ds:datastoreItem xmlns:ds="http://schemas.openxmlformats.org/officeDocument/2006/customXml" ds:itemID="{E346E689-1313-4592-BFB9-8A4B77ECEC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73C015-D9C6-4D28-8D82-10A6542151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4996</Words>
  <Characters>26209</Characters>
  <Application>Microsoft Office Word</Application>
  <DocSecurity>0</DocSecurity>
  <Lines>218</Lines>
  <Paragraphs>62</Paragraphs>
  <ScaleCrop>false</ScaleCrop>
  <HeadingPairs>
    <vt:vector size="2" baseType="variant">
      <vt:variant>
        <vt:lpstr>Title</vt:lpstr>
      </vt:variant>
      <vt:variant>
        <vt:i4>1</vt:i4>
      </vt:variant>
    </vt:vector>
  </HeadingPairs>
  <TitlesOfParts>
    <vt:vector size="1" baseType="lpstr">
      <vt:lpstr>Fax cover sheet</vt:lpstr>
    </vt:vector>
  </TitlesOfParts>
  <Company>HTA</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update</dc:title>
  <dc:subject/>
  <dc:creator>Nima Sharma</dc:creator>
  <cp:keywords/>
  <cp:lastModifiedBy>Heather Troy</cp:lastModifiedBy>
  <cp:revision>48</cp:revision>
  <cp:lastPrinted>2023-01-18T02:55:00Z</cp:lastPrinted>
  <dcterms:created xsi:type="dcterms:W3CDTF">2023-10-10T23:07:00Z</dcterms:created>
  <dcterms:modified xsi:type="dcterms:W3CDTF">2023-10-12T10:56:00Z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Meeting paper</vt:lpwstr>
  </property>
  <property fmtid="{D5CDD505-2E9C-101B-9397-08002B2CF9AE}" pid="3" name="SharedWithUsers">
    <vt:lpwstr>317;#Richard Sydee</vt:lpwstr>
  </property>
  <property fmtid="{D5CDD505-2E9C-101B-9397-08002B2CF9AE}" pid="4" name="URL">
    <vt:lpwstr>, </vt:lpwstr>
  </property>
  <property fmtid="{D5CDD505-2E9C-101B-9397-08002B2CF9AE}" pid="5" name="ContentTypeId">
    <vt:lpwstr>0x01010070FA452D68FE2C4C857151ED38B1EED9AC0017332BDA34AE94498D665E83FB436E94</vt:lpwstr>
  </property>
  <property fmtid="{D5CDD505-2E9C-101B-9397-08002B2CF9AE}" pid="6" name="_dlc_DocIdItemGuid">
    <vt:lpwstr>5581b099-384d-4f39-aa96-3ce1ceb041be</vt:lpwstr>
  </property>
</Properties>
</file>