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ADFD" w14:textId="77777777" w:rsidR="000059F5" w:rsidRDefault="000059F5"/>
    <w:p w14:paraId="0058ADFE" w14:textId="77777777" w:rsidR="000059F5" w:rsidRDefault="009E4705">
      <w:pPr>
        <w:pStyle w:val="Title"/>
        <w:rPr>
          <w:color w:val="5F497A"/>
        </w:rPr>
      </w:pPr>
      <w:r>
        <w:rPr>
          <w:color w:val="5F497A"/>
        </w:rPr>
        <w:t xml:space="preserve">Human Tissue Authority </w:t>
      </w:r>
    </w:p>
    <w:p w14:paraId="0058ADFF" w14:textId="77777777" w:rsidR="000059F5" w:rsidRDefault="009E4705">
      <w:pPr>
        <w:pStyle w:val="Heading2"/>
        <w:spacing w:before="0"/>
        <w:rPr>
          <w:color w:val="5F497A"/>
          <w:sz w:val="40"/>
          <w:szCs w:val="40"/>
        </w:rPr>
      </w:pPr>
      <w:r>
        <w:rPr>
          <w:color w:val="5F497A"/>
          <w:sz w:val="40"/>
          <w:szCs w:val="40"/>
        </w:rPr>
        <w:t>Board Meeting Conducted in Public</w:t>
      </w:r>
    </w:p>
    <w:p w14:paraId="0058AE00" w14:textId="77777777" w:rsidR="000059F5" w:rsidRDefault="000059F5"/>
    <w:p w14:paraId="0058AE01" w14:textId="77777777" w:rsidR="000059F5" w:rsidRDefault="009E47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8ADFD" wp14:editId="0058ADFE">
                <wp:simplePos x="0" y="0"/>
                <wp:positionH relativeFrom="margin">
                  <wp:posOffset>-22860</wp:posOffset>
                </wp:positionH>
                <wp:positionV relativeFrom="paragraph">
                  <wp:posOffset>26032</wp:posOffset>
                </wp:positionV>
                <wp:extent cx="5981703" cy="0"/>
                <wp:effectExtent l="0" t="0" r="0" b="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3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8E35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-1.8pt;margin-top:2.05pt;width:471pt;height:0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" strokeweight=".26467mm">
                <v:stroke joinstyle="miter"/>
                <w10:wrap anchorx="margin"/>
              </v:shape>
            </w:pict>
          </mc:Fallback>
        </mc:AlternateContent>
      </w:r>
    </w:p>
    <w:p w14:paraId="0058AE02" w14:textId="77777777" w:rsidR="000059F5" w:rsidRDefault="000059F5">
      <w:pPr>
        <w:pStyle w:val="Header"/>
        <w:tabs>
          <w:tab w:val="clear" w:pos="4320"/>
          <w:tab w:val="clear" w:pos="8640"/>
        </w:tabs>
        <w:rPr>
          <w:sz w:val="16"/>
        </w:rPr>
      </w:pPr>
    </w:p>
    <w:p w14:paraId="0058AE03" w14:textId="77777777" w:rsidR="000059F5" w:rsidRDefault="009E4705">
      <w:pPr>
        <w:tabs>
          <w:tab w:val="left" w:pos="993"/>
        </w:tabs>
      </w:pPr>
      <w:r>
        <w:rPr>
          <w:b/>
          <w:bCs/>
          <w:szCs w:val="20"/>
        </w:rPr>
        <w:t>Date:</w:t>
      </w:r>
      <w:r>
        <w:rPr>
          <w:b/>
          <w:bCs/>
          <w:szCs w:val="20"/>
        </w:rPr>
        <w:tab/>
      </w:r>
      <w:r>
        <w:rPr>
          <w:szCs w:val="20"/>
        </w:rPr>
        <w:t>29 June 2023</w:t>
      </w:r>
      <w:r>
        <w:rPr>
          <w:szCs w:val="20"/>
        </w:rPr>
        <w:br/>
      </w:r>
    </w:p>
    <w:p w14:paraId="0058AE04" w14:textId="77777777" w:rsidR="000059F5" w:rsidRDefault="009E4705">
      <w:pPr>
        <w:tabs>
          <w:tab w:val="left" w:pos="993"/>
        </w:tabs>
      </w:pPr>
      <w:r>
        <w:rPr>
          <w:b/>
          <w:bCs/>
          <w:szCs w:val="20"/>
        </w:rPr>
        <w:t>Time:</w:t>
      </w:r>
      <w:r>
        <w:rPr>
          <w:b/>
          <w:bCs/>
          <w:szCs w:val="20"/>
        </w:rPr>
        <w:tab/>
      </w:r>
      <w:r>
        <w:rPr>
          <w:szCs w:val="20"/>
        </w:rPr>
        <w:t>09.30 – 10.00</w:t>
      </w:r>
      <w:r>
        <w:rPr>
          <w:szCs w:val="20"/>
        </w:rPr>
        <w:tab/>
        <w:t xml:space="preserve">Tea/coffee available, registration and networking </w:t>
      </w:r>
    </w:p>
    <w:p w14:paraId="0058AE05" w14:textId="77777777" w:rsidR="000059F5" w:rsidRDefault="000059F5">
      <w:pPr>
        <w:tabs>
          <w:tab w:val="left" w:pos="993"/>
        </w:tabs>
        <w:rPr>
          <w:szCs w:val="20"/>
        </w:rPr>
      </w:pPr>
    </w:p>
    <w:p w14:paraId="0058AE06" w14:textId="77777777" w:rsidR="000059F5" w:rsidRDefault="009E4705">
      <w:pPr>
        <w:tabs>
          <w:tab w:val="left" w:pos="993"/>
        </w:tabs>
      </w:pPr>
      <w:r>
        <w:rPr>
          <w:b/>
          <w:bCs/>
          <w:szCs w:val="20"/>
        </w:rPr>
        <w:tab/>
      </w:r>
      <w:r>
        <w:t>10.00</w:t>
      </w:r>
      <w:r>
        <w:rPr>
          <w:szCs w:val="20"/>
        </w:rPr>
        <w:t xml:space="preserve"> – </w:t>
      </w:r>
      <w:r>
        <w:t>12</w:t>
      </w:r>
      <w:r>
        <w:rPr>
          <w:szCs w:val="20"/>
        </w:rPr>
        <w:t>.</w:t>
      </w:r>
      <w:r>
        <w:t>30</w:t>
      </w:r>
      <w:r>
        <w:rPr>
          <w:szCs w:val="20"/>
        </w:rPr>
        <w:t xml:space="preserve">       </w:t>
      </w:r>
      <w:r>
        <w:t xml:space="preserve">Main meeting (held in public) </w:t>
      </w:r>
    </w:p>
    <w:p w14:paraId="0058AE07" w14:textId="77777777" w:rsidR="000059F5" w:rsidRDefault="009E4705">
      <w:pPr>
        <w:tabs>
          <w:tab w:val="left" w:pos="993"/>
        </w:tabs>
        <w:rPr>
          <w:szCs w:val="20"/>
        </w:rPr>
      </w:pPr>
      <w:r>
        <w:rPr>
          <w:szCs w:val="20"/>
        </w:rPr>
        <w:tab/>
        <w:t xml:space="preserve"> </w:t>
      </w:r>
    </w:p>
    <w:p w14:paraId="0058AE08" w14:textId="77777777" w:rsidR="000059F5" w:rsidRDefault="009E4705">
      <w:pPr>
        <w:tabs>
          <w:tab w:val="left" w:pos="993"/>
        </w:tabs>
        <w:ind w:left="2880" w:hanging="1887"/>
      </w:pPr>
      <w:r>
        <w:t xml:space="preserve">13.30 – 15.30 </w:t>
      </w:r>
      <w:r>
        <w:tab/>
      </w:r>
      <w:r>
        <w:t xml:space="preserve">Afternoon Board Session (HTA Board Members and staff only) </w:t>
      </w:r>
    </w:p>
    <w:p w14:paraId="0058AE09" w14:textId="77777777" w:rsidR="000059F5" w:rsidRDefault="009E4705">
      <w:pPr>
        <w:tabs>
          <w:tab w:val="left" w:pos="993"/>
        </w:tabs>
      </w:pPr>
      <w:r>
        <w:rPr>
          <w:b/>
          <w:bCs/>
          <w:szCs w:val="20"/>
        </w:rPr>
        <w:br/>
      </w:r>
      <w:r>
        <w:rPr>
          <w:b/>
          <w:bCs/>
          <w:szCs w:val="20"/>
        </w:rPr>
        <w:t>Venue:</w:t>
      </w:r>
      <w:r>
        <w:rPr>
          <w:b/>
          <w:bCs/>
          <w:szCs w:val="20"/>
        </w:rPr>
        <w:tab/>
      </w:r>
      <w:r>
        <w:rPr>
          <w:szCs w:val="20"/>
        </w:rPr>
        <w:t>2 Redman Place, London, E20 1JQ – Thames Meeting Room</w:t>
      </w:r>
    </w:p>
    <w:p w14:paraId="0058AE0A" w14:textId="77777777" w:rsidR="000059F5" w:rsidRDefault="000059F5">
      <w:pPr>
        <w:tabs>
          <w:tab w:val="left" w:pos="993"/>
        </w:tabs>
        <w:rPr>
          <w:szCs w:val="20"/>
        </w:rPr>
      </w:pPr>
    </w:p>
    <w:p w14:paraId="0058AE0B" w14:textId="77777777" w:rsidR="000059F5" w:rsidRDefault="009E4705">
      <w:pPr>
        <w:tabs>
          <w:tab w:val="left" w:pos="993"/>
        </w:tabs>
      </w:pPr>
      <w:r>
        <w:rPr>
          <w:b/>
          <w:bCs/>
          <w:szCs w:val="20"/>
        </w:rPr>
        <w:t>Meeting Number</w:t>
      </w:r>
      <w:r>
        <w:rPr>
          <w:szCs w:val="20"/>
        </w:rPr>
        <w:t>:  104</w:t>
      </w:r>
    </w:p>
    <w:p w14:paraId="0058AE0C" w14:textId="77777777" w:rsidR="000059F5" w:rsidRDefault="000059F5">
      <w:pPr>
        <w:rPr>
          <w:szCs w:val="20"/>
        </w:rPr>
      </w:pPr>
    </w:p>
    <w:p w14:paraId="0058AE0D" w14:textId="77777777" w:rsidR="000059F5" w:rsidRDefault="009E4705">
      <w:pPr>
        <w:tabs>
          <w:tab w:val="left" w:pos="2694"/>
        </w:tabs>
      </w:pPr>
      <w:r>
        <w:rPr>
          <w:b/>
          <w:szCs w:val="20"/>
        </w:rPr>
        <w:t xml:space="preserve">Protective Marking: </w:t>
      </w:r>
      <w:r>
        <w:t>OFFICIAL</w:t>
      </w:r>
    </w:p>
    <w:p w14:paraId="0058AE0E" w14:textId="77777777" w:rsidR="000059F5" w:rsidRDefault="000059F5"/>
    <w:p w14:paraId="0058AE0F" w14:textId="77777777" w:rsidR="000059F5" w:rsidRDefault="009E470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58ADFF" wp14:editId="0058AE00">
                <wp:simplePos x="0" y="0"/>
                <wp:positionH relativeFrom="margin">
                  <wp:posOffset>-22860</wp:posOffset>
                </wp:positionH>
                <wp:positionV relativeFrom="paragraph">
                  <wp:posOffset>26032</wp:posOffset>
                </wp:positionV>
                <wp:extent cx="5981703" cy="0"/>
                <wp:effectExtent l="0" t="0" r="0" b="0"/>
                <wp:wrapNone/>
                <wp:docPr id="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3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68634" id="Straight Connector 5" o:spid="_x0000_s1026" type="#_x0000_t32" style="position:absolute;margin-left:-1.8pt;margin-top:2.05pt;width:471pt;height:0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" strokeweight=".26467mm">
                <v:stroke joinstyle="miter"/>
                <w10:wrap anchorx="margin"/>
              </v:shape>
            </w:pict>
          </mc:Fallback>
        </mc:AlternateContent>
      </w:r>
    </w:p>
    <w:p w14:paraId="0058AE10" w14:textId="77777777" w:rsidR="000059F5" w:rsidRDefault="009E4705">
      <w:pPr>
        <w:pStyle w:val="Subheading"/>
        <w:rPr>
          <w:sz w:val="40"/>
          <w:szCs w:val="40"/>
        </w:rPr>
      </w:pPr>
      <w:r>
        <w:rPr>
          <w:sz w:val="40"/>
          <w:szCs w:val="40"/>
        </w:rPr>
        <w:t xml:space="preserve">Agenda </w:t>
      </w:r>
    </w:p>
    <w:p w14:paraId="0058AE11" w14:textId="77777777" w:rsidR="000059F5" w:rsidRDefault="000059F5">
      <w:pPr>
        <w:pStyle w:val="Subheading"/>
        <w:rPr>
          <w:sz w:val="36"/>
          <w:szCs w:val="36"/>
        </w:rPr>
      </w:pPr>
    </w:p>
    <w:p w14:paraId="0058AE12" w14:textId="77777777" w:rsidR="000059F5" w:rsidRDefault="009E4705">
      <w:pPr>
        <w:pStyle w:val="Subheading"/>
      </w:pPr>
      <w:r>
        <w:t xml:space="preserve">Meeting administration </w:t>
      </w:r>
    </w:p>
    <w:p w14:paraId="0058AE13" w14:textId="77777777" w:rsidR="000059F5" w:rsidRDefault="000059F5">
      <w:pPr>
        <w:pStyle w:val="Subheading"/>
      </w:pPr>
    </w:p>
    <w:p w14:paraId="0058AE14" w14:textId="77777777" w:rsidR="000059F5" w:rsidRDefault="009E4705">
      <w:pPr>
        <w:pStyle w:val="ListParagraph"/>
        <w:numPr>
          <w:ilvl w:val="0"/>
          <w:numId w:val="4"/>
        </w:numPr>
        <w:ind w:left="714" w:hanging="357"/>
      </w:pPr>
      <w:r>
        <w:t xml:space="preserve">Welcome and apologies (Oral) </w:t>
      </w:r>
    </w:p>
    <w:p w14:paraId="0058AE15" w14:textId="77777777" w:rsidR="000059F5" w:rsidRDefault="000059F5">
      <w:pPr>
        <w:pStyle w:val="ListParagraph"/>
        <w:ind w:left="714"/>
      </w:pPr>
    </w:p>
    <w:p w14:paraId="0058AE16" w14:textId="77777777" w:rsidR="000059F5" w:rsidRDefault="009E4705">
      <w:pPr>
        <w:pStyle w:val="ListParagraph"/>
        <w:numPr>
          <w:ilvl w:val="0"/>
          <w:numId w:val="4"/>
        </w:numPr>
        <w:ind w:left="714" w:hanging="357"/>
      </w:pPr>
      <w:r>
        <w:t xml:space="preserve">Declarations of interest (Oral) </w:t>
      </w:r>
    </w:p>
    <w:p w14:paraId="0058AE17" w14:textId="77777777" w:rsidR="000059F5" w:rsidRDefault="000059F5">
      <w:pPr>
        <w:rPr>
          <w:b/>
          <w:bCs/>
        </w:rPr>
      </w:pPr>
    </w:p>
    <w:p w14:paraId="0058AE18" w14:textId="77777777" w:rsidR="000059F5" w:rsidRDefault="000059F5">
      <w:pPr>
        <w:pStyle w:val="Subheading"/>
      </w:pPr>
    </w:p>
    <w:p w14:paraId="0058AE19" w14:textId="77777777" w:rsidR="000059F5" w:rsidRDefault="009E4705">
      <w:pPr>
        <w:pStyle w:val="Subheading"/>
      </w:pPr>
      <w:r>
        <w:t xml:space="preserve">Regular reporting </w:t>
      </w:r>
    </w:p>
    <w:p w14:paraId="0058AE1A" w14:textId="77777777" w:rsidR="000059F5" w:rsidRDefault="000059F5">
      <w:pPr>
        <w:pStyle w:val="Subheading"/>
        <w:rPr>
          <w:sz w:val="24"/>
        </w:rPr>
      </w:pPr>
    </w:p>
    <w:p w14:paraId="0058AE1B" w14:textId="77777777" w:rsidR="000059F5" w:rsidRDefault="009E4705">
      <w:pPr>
        <w:pStyle w:val="ListParagraph"/>
        <w:numPr>
          <w:ilvl w:val="0"/>
          <w:numId w:val="4"/>
        </w:numPr>
      </w:pPr>
      <w:r>
        <w:t>Chairs Report (Oral)</w:t>
      </w:r>
    </w:p>
    <w:p w14:paraId="0058AE1C" w14:textId="77777777" w:rsidR="000059F5" w:rsidRDefault="000059F5">
      <w:pPr>
        <w:pStyle w:val="ListParagraph"/>
        <w:ind w:left="714"/>
      </w:pPr>
    </w:p>
    <w:p w14:paraId="0058AE1D" w14:textId="77777777" w:rsidR="000059F5" w:rsidRDefault="009E4705">
      <w:pPr>
        <w:pStyle w:val="ListParagraph"/>
        <w:numPr>
          <w:ilvl w:val="0"/>
          <w:numId w:val="4"/>
        </w:numPr>
        <w:ind w:left="714" w:hanging="357"/>
      </w:pPr>
      <w:r>
        <w:t>Chief Executive’s Report (HTA 11/23)</w:t>
      </w:r>
    </w:p>
    <w:p w14:paraId="0058AE1E" w14:textId="77777777" w:rsidR="000059F5" w:rsidRDefault="000059F5">
      <w:pPr>
        <w:ind w:left="714"/>
      </w:pPr>
    </w:p>
    <w:p w14:paraId="0058AE1F" w14:textId="77777777" w:rsidR="000059F5" w:rsidRDefault="009E4705">
      <w:pPr>
        <w:pStyle w:val="ListParagraph"/>
        <w:numPr>
          <w:ilvl w:val="0"/>
          <w:numId w:val="4"/>
        </w:numPr>
        <w:ind w:left="714" w:hanging="357"/>
      </w:pPr>
      <w:r>
        <w:t>HTA Performance Report (HTA 12/23)</w:t>
      </w:r>
    </w:p>
    <w:p w14:paraId="0058AE20" w14:textId="77777777" w:rsidR="000059F5" w:rsidRDefault="000059F5">
      <w:pPr>
        <w:pStyle w:val="ListParagraph"/>
      </w:pPr>
    </w:p>
    <w:p w14:paraId="0058AE21" w14:textId="77777777" w:rsidR="000059F5" w:rsidRDefault="009E4705">
      <w:pPr>
        <w:pStyle w:val="ListParagraph"/>
        <w:numPr>
          <w:ilvl w:val="0"/>
          <w:numId w:val="4"/>
        </w:numPr>
        <w:ind w:left="714" w:hanging="357"/>
      </w:pPr>
      <w:r>
        <w:t>Update from DHSC Sponsor Team (Verbal)</w:t>
      </w:r>
    </w:p>
    <w:p w14:paraId="0058AE22" w14:textId="77777777" w:rsidR="000059F5" w:rsidRDefault="000059F5">
      <w:pPr>
        <w:spacing w:after="200" w:line="276" w:lineRule="auto"/>
        <w:rPr>
          <w:b/>
          <w:sz w:val="32"/>
        </w:rPr>
      </w:pPr>
    </w:p>
    <w:p w14:paraId="0058AE23" w14:textId="77777777" w:rsidR="000059F5" w:rsidRDefault="000059F5">
      <w:pPr>
        <w:pStyle w:val="Subheading"/>
      </w:pPr>
    </w:p>
    <w:p w14:paraId="0058AE24" w14:textId="77777777" w:rsidR="000059F5" w:rsidRDefault="009E4705">
      <w:pPr>
        <w:pStyle w:val="Subheading"/>
      </w:pPr>
      <w:r>
        <w:t>Items for decision</w:t>
      </w:r>
    </w:p>
    <w:p w14:paraId="0058AE25" w14:textId="77777777" w:rsidR="000059F5" w:rsidRDefault="000059F5"/>
    <w:p w14:paraId="0058AE26" w14:textId="77777777" w:rsidR="000059F5" w:rsidRDefault="009E4705">
      <w:pPr>
        <w:pStyle w:val="ListParagraph"/>
        <w:numPr>
          <w:ilvl w:val="0"/>
          <w:numId w:val="4"/>
        </w:numPr>
        <w:ind w:left="714" w:hanging="357"/>
        <w:rPr>
          <w:lang w:val="sv-SE"/>
        </w:rPr>
      </w:pPr>
      <w:proofErr w:type="spellStart"/>
      <w:r>
        <w:rPr>
          <w:lang w:val="sv-SE"/>
        </w:rPr>
        <w:t>Living</w:t>
      </w:r>
      <w:proofErr w:type="spellEnd"/>
      <w:r>
        <w:rPr>
          <w:lang w:val="sv-SE"/>
        </w:rPr>
        <w:t xml:space="preserve"> Organ Donation </w:t>
      </w:r>
      <w:proofErr w:type="spellStart"/>
      <w:r>
        <w:rPr>
          <w:lang w:val="sv-SE"/>
        </w:rPr>
        <w:t>Update</w:t>
      </w:r>
      <w:proofErr w:type="spellEnd"/>
      <w:r>
        <w:rPr>
          <w:lang w:val="sv-SE"/>
        </w:rPr>
        <w:t xml:space="preserve"> (HTA </w:t>
      </w:r>
      <w:r>
        <w:rPr>
          <w:lang w:val="sv-SE"/>
        </w:rPr>
        <w:t xml:space="preserve">13/23) </w:t>
      </w:r>
    </w:p>
    <w:p w14:paraId="0058AE27" w14:textId="77777777" w:rsidR="000059F5" w:rsidRDefault="000059F5">
      <w:pPr>
        <w:ind w:left="357"/>
        <w:rPr>
          <w:lang w:val="sv-SE"/>
        </w:rPr>
      </w:pPr>
    </w:p>
    <w:p w14:paraId="0058AE28" w14:textId="77777777" w:rsidR="000059F5" w:rsidRDefault="009E4705">
      <w:pPr>
        <w:ind w:left="714" w:hanging="357"/>
      </w:pPr>
      <w:r>
        <w:rPr>
          <w:lang w:val="sv-SE"/>
        </w:rPr>
        <w:tab/>
      </w:r>
      <w:r>
        <w:t>Annex A, DRAFT HTA-POL-102 Policy for the assessment of living organ donation cases (HTA 13a/23)</w:t>
      </w:r>
    </w:p>
    <w:p w14:paraId="0058AE29" w14:textId="77777777" w:rsidR="000059F5" w:rsidRDefault="000059F5">
      <w:pPr>
        <w:pStyle w:val="ListParagraph"/>
        <w:ind w:left="714"/>
      </w:pPr>
    </w:p>
    <w:p w14:paraId="0058AE2A" w14:textId="77777777" w:rsidR="000059F5" w:rsidRDefault="000059F5"/>
    <w:p w14:paraId="0058AE2B" w14:textId="77777777" w:rsidR="000059F5" w:rsidRDefault="009E470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Item for discussion</w:t>
      </w:r>
    </w:p>
    <w:p w14:paraId="0058AE2C" w14:textId="77777777" w:rsidR="000059F5" w:rsidRDefault="000059F5">
      <w:pPr>
        <w:pStyle w:val="ListParagraph"/>
        <w:ind w:left="714"/>
        <w:rPr>
          <w:i/>
          <w:iCs/>
        </w:rPr>
      </w:pPr>
    </w:p>
    <w:p w14:paraId="0058AE2D" w14:textId="77777777" w:rsidR="000059F5" w:rsidRDefault="009E4705">
      <w:pPr>
        <w:pStyle w:val="ListParagraph"/>
        <w:numPr>
          <w:ilvl w:val="0"/>
          <w:numId w:val="4"/>
        </w:numPr>
      </w:pPr>
      <w:r>
        <w:t>Governance around HTA’s Insight Network (HTA 14/23)</w:t>
      </w:r>
    </w:p>
    <w:p w14:paraId="0058AE2E" w14:textId="77777777" w:rsidR="000059F5" w:rsidRDefault="000059F5">
      <w:pPr>
        <w:pStyle w:val="ListParagraph"/>
        <w:rPr>
          <w:i/>
          <w:iCs/>
        </w:rPr>
      </w:pPr>
    </w:p>
    <w:p w14:paraId="0058AE2F" w14:textId="77777777" w:rsidR="000059F5" w:rsidRDefault="000059F5">
      <w:pPr>
        <w:rPr>
          <w:b/>
          <w:bCs/>
          <w:sz w:val="28"/>
          <w:szCs w:val="28"/>
        </w:rPr>
      </w:pPr>
    </w:p>
    <w:p w14:paraId="0058AE30" w14:textId="77777777" w:rsidR="000059F5" w:rsidRDefault="009E4705">
      <w:pPr>
        <w:rPr>
          <w:b/>
          <w:sz w:val="32"/>
          <w:szCs w:val="32"/>
        </w:rPr>
      </w:pPr>
      <w:r>
        <w:rPr>
          <w:b/>
          <w:sz w:val="32"/>
          <w:szCs w:val="32"/>
        </w:rPr>
        <w:t>Reports from Committees</w:t>
      </w:r>
    </w:p>
    <w:p w14:paraId="0058AE31" w14:textId="77777777" w:rsidR="000059F5" w:rsidRDefault="000059F5">
      <w:pPr>
        <w:pStyle w:val="ListParagraph"/>
      </w:pPr>
    </w:p>
    <w:p w14:paraId="0058AE32" w14:textId="77777777" w:rsidR="000059F5" w:rsidRDefault="009E4705">
      <w:pPr>
        <w:pStyle w:val="ListParagraph"/>
        <w:numPr>
          <w:ilvl w:val="0"/>
          <w:numId w:val="4"/>
        </w:numPr>
        <w:ind w:left="714" w:hanging="357"/>
      </w:pPr>
      <w:r>
        <w:t xml:space="preserve">Audit and Risk Assurance Committee Update (HTA </w:t>
      </w:r>
      <w:r>
        <w:t>15/23)</w:t>
      </w:r>
    </w:p>
    <w:p w14:paraId="0058AE33" w14:textId="77777777" w:rsidR="000059F5" w:rsidRDefault="000059F5">
      <w:pPr>
        <w:pStyle w:val="ListParagraph"/>
        <w:ind w:left="714"/>
      </w:pPr>
    </w:p>
    <w:p w14:paraId="0058AE34" w14:textId="77777777" w:rsidR="000059F5" w:rsidRDefault="009E4705">
      <w:pPr>
        <w:pStyle w:val="ListParagraph"/>
        <w:numPr>
          <w:ilvl w:val="0"/>
          <w:numId w:val="4"/>
        </w:numPr>
        <w:ind w:left="714" w:hanging="357"/>
      </w:pPr>
      <w:r>
        <w:t>Remuneration Committee Update (HTA 16/23)</w:t>
      </w:r>
    </w:p>
    <w:p w14:paraId="0058AE35" w14:textId="77777777" w:rsidR="000059F5" w:rsidRDefault="000059F5">
      <w:pPr>
        <w:rPr>
          <w:b/>
          <w:bCs/>
        </w:rPr>
      </w:pPr>
    </w:p>
    <w:p w14:paraId="0058AE36" w14:textId="77777777" w:rsidR="000059F5" w:rsidRDefault="000059F5">
      <w:pPr>
        <w:pStyle w:val="Subheading"/>
      </w:pPr>
    </w:p>
    <w:p w14:paraId="0058AE37" w14:textId="77777777" w:rsidR="000059F5" w:rsidRDefault="009E4705">
      <w:pPr>
        <w:pStyle w:val="Subheading"/>
      </w:pPr>
      <w:r>
        <w:t xml:space="preserve">Items for information only </w:t>
      </w:r>
    </w:p>
    <w:p w14:paraId="0058AE38" w14:textId="77777777" w:rsidR="000059F5" w:rsidRDefault="000059F5"/>
    <w:p w14:paraId="0058AE39" w14:textId="77777777" w:rsidR="000059F5" w:rsidRDefault="009E4705">
      <w:pPr>
        <w:pStyle w:val="Subheading"/>
        <w:numPr>
          <w:ilvl w:val="0"/>
          <w:numId w:val="4"/>
        </w:numPr>
        <w:rPr>
          <w:b w:val="0"/>
          <w:sz w:val="24"/>
        </w:rPr>
      </w:pPr>
      <w:r>
        <w:rPr>
          <w:b w:val="0"/>
          <w:sz w:val="24"/>
        </w:rPr>
        <w:t>Minutes of 9 March 2023 (HTA 17/23)</w:t>
      </w:r>
    </w:p>
    <w:p w14:paraId="0058AE3A" w14:textId="77777777" w:rsidR="000059F5" w:rsidRDefault="000059F5">
      <w:pPr>
        <w:pStyle w:val="Subheading"/>
        <w:ind w:left="720"/>
        <w:rPr>
          <w:b w:val="0"/>
          <w:bCs/>
          <w:sz w:val="24"/>
        </w:rPr>
      </w:pPr>
    </w:p>
    <w:p w14:paraId="0058AE3B" w14:textId="77777777" w:rsidR="000059F5" w:rsidRDefault="009E4705">
      <w:pPr>
        <w:pStyle w:val="Subheading"/>
        <w:numPr>
          <w:ilvl w:val="0"/>
          <w:numId w:val="4"/>
        </w:numPr>
        <w:rPr>
          <w:b w:val="0"/>
          <w:bCs/>
          <w:sz w:val="24"/>
        </w:rPr>
      </w:pPr>
      <w:r>
        <w:rPr>
          <w:b w:val="0"/>
          <w:bCs/>
          <w:sz w:val="24"/>
        </w:rPr>
        <w:t>Matters arising from 9 March 2023 (HTA 18/23)</w:t>
      </w:r>
    </w:p>
    <w:p w14:paraId="0058AE3C" w14:textId="77777777" w:rsidR="000059F5" w:rsidRDefault="000059F5">
      <w:pPr>
        <w:pStyle w:val="Subheading"/>
        <w:rPr>
          <w:b w:val="0"/>
          <w:bCs/>
          <w:sz w:val="24"/>
        </w:rPr>
      </w:pPr>
    </w:p>
    <w:p w14:paraId="0058AE3D" w14:textId="77777777" w:rsidR="000059F5" w:rsidRDefault="009E4705">
      <w:pPr>
        <w:pStyle w:val="Subheading"/>
        <w:ind w:firstLine="360"/>
        <w:rPr>
          <w:b w:val="0"/>
          <w:bCs/>
          <w:sz w:val="24"/>
        </w:rPr>
      </w:pPr>
      <w:r>
        <w:rPr>
          <w:b w:val="0"/>
          <w:bCs/>
          <w:sz w:val="24"/>
        </w:rPr>
        <w:t>13.</w:t>
      </w:r>
      <w:r>
        <w:rPr>
          <w:b w:val="0"/>
          <w:bCs/>
          <w:sz w:val="24"/>
        </w:rPr>
        <w:tab/>
        <w:t>Stakeholder Engagement Update (HTA 19/23)</w:t>
      </w:r>
    </w:p>
    <w:p w14:paraId="0058AE3E" w14:textId="77777777" w:rsidR="000059F5" w:rsidRDefault="000059F5">
      <w:pPr>
        <w:pStyle w:val="Subheading"/>
        <w:rPr>
          <w:b w:val="0"/>
          <w:bCs/>
          <w:sz w:val="24"/>
        </w:rPr>
      </w:pPr>
    </w:p>
    <w:p w14:paraId="0058AE3F" w14:textId="77777777" w:rsidR="000059F5" w:rsidRDefault="009E4705">
      <w:pPr>
        <w:pStyle w:val="Subheading"/>
      </w:pPr>
      <w:r>
        <w:t xml:space="preserve">Questions from observers  </w:t>
      </w:r>
    </w:p>
    <w:p w14:paraId="0058AE40" w14:textId="77777777" w:rsidR="000059F5" w:rsidRDefault="000059F5">
      <w:pPr>
        <w:pStyle w:val="Subheading"/>
        <w:rPr>
          <w:sz w:val="24"/>
        </w:rPr>
      </w:pPr>
    </w:p>
    <w:p w14:paraId="0058AE41" w14:textId="77777777" w:rsidR="000059F5" w:rsidRDefault="009E4705">
      <w:pPr>
        <w:pStyle w:val="ListParagraph"/>
        <w:numPr>
          <w:ilvl w:val="0"/>
          <w:numId w:val="5"/>
        </w:numPr>
      </w:pPr>
      <w:r>
        <w:t xml:space="preserve">This is an </w:t>
      </w:r>
      <w:r>
        <w:t>opportunity for the HTA to respond to any pre-submitted questions from observers (oral)</w:t>
      </w:r>
    </w:p>
    <w:p w14:paraId="0058AE42" w14:textId="77777777" w:rsidR="000059F5" w:rsidRDefault="000059F5"/>
    <w:p w14:paraId="0058AE43" w14:textId="77777777" w:rsidR="000059F5" w:rsidRDefault="000059F5">
      <w:pPr>
        <w:pStyle w:val="Subheading"/>
      </w:pPr>
    </w:p>
    <w:p w14:paraId="0058AE44" w14:textId="77777777" w:rsidR="000059F5" w:rsidRDefault="009E4705">
      <w:pPr>
        <w:pStyle w:val="Subheading"/>
      </w:pPr>
      <w:r>
        <w:t xml:space="preserve">Any other business </w:t>
      </w:r>
    </w:p>
    <w:p w14:paraId="0058AE45" w14:textId="77777777" w:rsidR="000059F5" w:rsidRDefault="000059F5"/>
    <w:p w14:paraId="0058AE46" w14:textId="77777777" w:rsidR="000059F5" w:rsidRDefault="009E4705">
      <w:pPr>
        <w:pStyle w:val="ListParagraph"/>
        <w:numPr>
          <w:ilvl w:val="0"/>
          <w:numId w:val="5"/>
        </w:numPr>
        <w:spacing w:after="200" w:line="276" w:lineRule="auto"/>
      </w:pPr>
      <w:r>
        <w:t>Any other business (Verbal)</w:t>
      </w:r>
    </w:p>
    <w:sectPr w:rsidR="000059F5">
      <w:headerReference w:type="default" r:id="rId7"/>
      <w:footerReference w:type="default" r:id="rId8"/>
      <w:pgSz w:w="11907" w:h="16840"/>
      <w:pgMar w:top="1825" w:right="1304" w:bottom="1985" w:left="1701" w:header="425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8AE05" w14:textId="77777777" w:rsidR="00000000" w:rsidRDefault="009E4705">
      <w:r>
        <w:separator/>
      </w:r>
    </w:p>
  </w:endnote>
  <w:endnote w:type="continuationSeparator" w:id="0">
    <w:p w14:paraId="0058AE07" w14:textId="77777777" w:rsidR="00000000" w:rsidRDefault="009E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AE0E" w14:textId="77777777" w:rsidR="00CB7123" w:rsidRDefault="009E4705">
    <w:pPr>
      <w:pStyle w:val="Footer"/>
      <w:jc w:val="right"/>
      <w:rPr>
        <w:sz w:val="18"/>
        <w:szCs w:val="18"/>
      </w:rPr>
    </w:pPr>
  </w:p>
  <w:p w14:paraId="0058AE0F" w14:textId="77777777" w:rsidR="00CB7123" w:rsidRDefault="009E4705">
    <w:pPr>
      <w:pStyle w:val="Footer"/>
      <w:ind w:left="-851"/>
      <w:rPr>
        <w:sz w:val="18"/>
        <w:szCs w:val="18"/>
      </w:rPr>
    </w:pPr>
    <w:r>
      <w:rPr>
        <w:sz w:val="18"/>
        <w:szCs w:val="18"/>
      </w:rPr>
      <w:t xml:space="preserve">HTA meeting papers are not policy documents. </w:t>
    </w:r>
    <w:r>
      <w:rPr>
        <w:sz w:val="18"/>
        <w:szCs w:val="18"/>
      </w:rPr>
      <w:br/>
    </w:r>
    <w:r>
      <w:rPr>
        <w:sz w:val="18"/>
        <w:szCs w:val="18"/>
      </w:rPr>
      <w:t>Draft policies may be subject to revision following the HTA Board 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AE01" w14:textId="77777777" w:rsidR="00000000" w:rsidRDefault="009E4705">
      <w:r>
        <w:rPr>
          <w:color w:val="000000"/>
        </w:rPr>
        <w:separator/>
      </w:r>
    </w:p>
  </w:footnote>
  <w:footnote w:type="continuationSeparator" w:id="0">
    <w:p w14:paraId="0058AE03" w14:textId="77777777" w:rsidR="00000000" w:rsidRDefault="009E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AE09" w14:textId="77777777" w:rsidR="00CB7123" w:rsidRDefault="009E4705">
    <w:pPr>
      <w:pStyle w:val="Header"/>
      <w:ind w:left="-851"/>
      <w:jc w:val="right"/>
    </w:pPr>
    <w:r>
      <w:rPr>
        <w:noProof/>
        <w:szCs w:val="32"/>
      </w:rPr>
      <w:drawing>
        <wp:inline distT="0" distB="0" distL="0" distR="0" wp14:anchorId="0058AE01" wp14:editId="0058AE02">
          <wp:extent cx="2019296" cy="609603"/>
          <wp:effectExtent l="0" t="0" r="4" b="0"/>
          <wp:docPr id="1" name="Picture 47" descr="HTA_colour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296" cy="6096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br/>
    </w:r>
  </w:p>
  <w:p w14:paraId="0058AE0A" w14:textId="77777777" w:rsidR="00CB7123" w:rsidRDefault="009E4705">
    <w:pPr>
      <w:pStyle w:val="Header"/>
    </w:pPr>
  </w:p>
  <w:p w14:paraId="0058AE0B" w14:textId="77777777" w:rsidR="00CB7123" w:rsidRDefault="009E4705">
    <w:pPr>
      <w:pStyle w:val="Header"/>
    </w:pPr>
  </w:p>
  <w:p w14:paraId="0058AE0C" w14:textId="77777777" w:rsidR="00CB7123" w:rsidRDefault="009E4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81DE4"/>
    <w:multiLevelType w:val="multilevel"/>
    <w:tmpl w:val="D9FC3684"/>
    <w:styleLink w:val="LFO6"/>
    <w:lvl w:ilvl="0">
      <w:start w:val="1"/>
      <w:numFmt w:val="decimal"/>
      <w:pStyle w:val="Tablenumbered"/>
      <w:lvlText w:val="%1."/>
      <w:lvlJc w:val="left"/>
      <w:pPr>
        <w:ind w:left="454" w:hanging="4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B1F01"/>
    <w:multiLevelType w:val="multilevel"/>
    <w:tmpl w:val="1BF4DC6E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B64E0"/>
    <w:multiLevelType w:val="multilevel"/>
    <w:tmpl w:val="64DEF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73487"/>
    <w:multiLevelType w:val="multilevel"/>
    <w:tmpl w:val="AD7AA43E"/>
    <w:styleLink w:val="LFO4"/>
    <w:lvl w:ilvl="0">
      <w:start w:val="1"/>
      <w:numFmt w:val="decimal"/>
      <w:pStyle w:val="ListNumber"/>
      <w:lvlText w:val="%1."/>
      <w:lvlJc w:val="left"/>
      <w:pPr>
        <w:ind w:left="454" w:hanging="454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65164F08"/>
    <w:multiLevelType w:val="multilevel"/>
    <w:tmpl w:val="4A922EBA"/>
    <w:styleLink w:val="LFO2"/>
    <w:lvl w:ilvl="0">
      <w:numFmt w:val="bullet"/>
      <w:pStyle w:val="ListBullet"/>
      <w:lvlText w:val=""/>
      <w:lvlJc w:val="left"/>
      <w:pPr>
        <w:ind w:left="170" w:hanging="17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0375807">
    <w:abstractNumId w:val="4"/>
  </w:num>
  <w:num w:numId="2" w16cid:durableId="1161502786">
    <w:abstractNumId w:val="3"/>
  </w:num>
  <w:num w:numId="3" w16cid:durableId="2083479382">
    <w:abstractNumId w:val="0"/>
  </w:num>
  <w:num w:numId="4" w16cid:durableId="706872869">
    <w:abstractNumId w:val="2"/>
  </w:num>
  <w:num w:numId="5" w16cid:durableId="1912231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59F5"/>
    <w:rsid w:val="000059F5"/>
    <w:rsid w:val="009E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8ADFD"/>
  <w15:docId w15:val="{267AA3B3-7B21-48CA-BD4C-22D4C746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GB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eastAsia="MS Gothic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eastAsia="MS Gothic" w:cs="Times New Roman"/>
      <w:b/>
      <w:bCs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eastAsia="MS Gothic" w:cs="Times New Roman"/>
      <w:b/>
      <w:bCs/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eastAsia="MS Gothic"/>
      <w:i/>
      <w:i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mbria" w:eastAsia="MS Gothic" w:hAnsi="Cambria" w:cs="Times New Roman"/>
      <w:color w:val="243F60"/>
    </w:rPr>
  </w:style>
  <w:style w:type="paragraph" w:styleId="Heading7">
    <w:name w:val="heading 7"/>
    <w:basedOn w:val="Normal"/>
    <w:next w:val="Normal"/>
    <w:pPr>
      <w:keepNext/>
      <w:keepLines/>
      <w:spacing w:before="40"/>
      <w:outlineLvl w:val="6"/>
    </w:pPr>
    <w:rPr>
      <w:rFonts w:ascii="Cambria" w:eastAsia="MS Gothic" w:hAnsi="Cambria" w:cs="Times New Roman"/>
      <w:i/>
      <w:iCs/>
      <w:color w:val="243F60"/>
    </w:rPr>
  </w:style>
  <w:style w:type="paragraph" w:styleId="Heading8">
    <w:name w:val="heading 8"/>
    <w:basedOn w:val="Normal"/>
    <w:next w:val="Normal"/>
    <w:pPr>
      <w:keepNext/>
      <w:keepLines/>
      <w:spacing w:before="40"/>
      <w:outlineLvl w:val="7"/>
    </w:pPr>
    <w:rPr>
      <w:rFonts w:ascii="Cambria" w:eastAsia="MS Gothic" w:hAnsi="Cambria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pPr>
      <w:keepNext/>
      <w:keepLines/>
      <w:spacing w:before="40"/>
      <w:outlineLvl w:val="8"/>
    </w:pPr>
    <w:rPr>
      <w:rFonts w:ascii="Cambria" w:eastAsia="MS Gothic" w:hAnsi="Cambria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pPr>
      <w:numPr>
        <w:numId w:val="1"/>
      </w:numPr>
      <w:tabs>
        <w:tab w:val="left" w:pos="-170"/>
      </w:tabs>
    </w:pPr>
  </w:style>
  <w:style w:type="paragraph" w:customStyle="1" w:styleId="NormalBold">
    <w:name w:val="Normal Bold"/>
    <w:basedOn w:val="Normal"/>
    <w:next w:val="Normal"/>
    <w:rPr>
      <w:b/>
    </w:rPr>
  </w:style>
  <w:style w:type="paragraph" w:styleId="FootnoteText">
    <w:name w:val="footnote text"/>
    <w:basedOn w:val="Normal"/>
    <w:rPr>
      <w:szCs w:val="20"/>
    </w:rPr>
  </w:style>
  <w:style w:type="paragraph" w:customStyle="1" w:styleId="Filenameandpath">
    <w:name w:val="Filename and path"/>
    <w:basedOn w:val="Normal"/>
    <w:rPr>
      <w:sz w:val="16"/>
    </w:rPr>
  </w:style>
  <w:style w:type="paragraph" w:styleId="ListNumber">
    <w:name w:val="List Number"/>
    <w:basedOn w:val="Normal"/>
    <w:pPr>
      <w:numPr>
        <w:numId w:val="2"/>
      </w:numPr>
      <w:spacing w:line="320" w:lineRule="atLeast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Subheading">
    <w:name w:val="Subheading"/>
    <w:basedOn w:val="ListParagraph"/>
    <w:pPr>
      <w:ind w:left="0"/>
    </w:pPr>
    <w:rPr>
      <w:b/>
      <w:sz w:val="32"/>
    </w:rPr>
  </w:style>
  <w:style w:type="paragraph" w:customStyle="1" w:styleId="Subject">
    <w:name w:val="Subject"/>
    <w:basedOn w:val="Subheading"/>
    <w:pPr>
      <w:spacing w:line="320" w:lineRule="atLeast"/>
    </w:pPr>
    <w:rPr>
      <w:sz w:val="24"/>
    </w:rPr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eastAsia="MS Gothic" w:cs="Times New Roman"/>
      <w:b/>
      <w:color w:val="4E1965"/>
      <w:spacing w:val="5"/>
      <w:kern w:val="3"/>
      <w:sz w:val="40"/>
      <w:szCs w:val="40"/>
    </w:rPr>
  </w:style>
  <w:style w:type="paragraph" w:customStyle="1" w:styleId="Tablenormal0">
    <w:name w:val="Table normal"/>
    <w:pPr>
      <w:suppressAutoHyphens/>
      <w:spacing w:before="80" w:line="280" w:lineRule="atLeast"/>
    </w:pPr>
    <w:rPr>
      <w:rFonts w:ascii="Arial" w:hAnsi="Arial"/>
      <w:sz w:val="24"/>
      <w:lang w:eastAsia="en-US"/>
    </w:rPr>
  </w:style>
  <w:style w:type="paragraph" w:customStyle="1" w:styleId="Tablebold">
    <w:name w:val="Table bold"/>
    <w:basedOn w:val="Tablenormal0"/>
    <w:next w:val="Tablenormal0"/>
    <w:rPr>
      <w:b/>
    </w:rPr>
  </w:style>
  <w:style w:type="paragraph" w:customStyle="1" w:styleId="Tablenumbered">
    <w:name w:val="Table numbered"/>
    <w:basedOn w:val="Tablenormal0"/>
    <w:next w:val="Tablenormal0"/>
    <w:pPr>
      <w:numPr>
        <w:numId w:val="3"/>
      </w:numPr>
    </w:pPr>
  </w:style>
  <w:style w:type="paragraph" w:customStyle="1" w:styleId="Tableheadings">
    <w:name w:val="Table headings"/>
    <w:basedOn w:val="Tablenormal0"/>
    <w:pPr>
      <w:spacing w:before="0" w:line="240" w:lineRule="auto"/>
    </w:pPr>
    <w:rPr>
      <w:b/>
      <w:sz w:val="28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rPr>
      <w:rFonts w:ascii="Arial" w:eastAsia="MS Gothic" w:hAnsi="Arial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rPr>
      <w:rFonts w:ascii="Arial" w:eastAsia="MS Gothic" w:hAnsi="Arial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rPr>
      <w:rFonts w:ascii="Arial" w:eastAsia="MS Gothic" w:hAnsi="Arial" w:cs="Times New Roman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rPr>
      <w:rFonts w:ascii="Arial" w:eastAsia="MS Gothic" w:hAnsi="Arial" w:cs="Arial"/>
      <w:i/>
      <w:iCs/>
      <w:sz w:val="24"/>
      <w:szCs w:val="24"/>
    </w:rPr>
  </w:style>
  <w:style w:type="character" w:customStyle="1" w:styleId="Heading6Char">
    <w:name w:val="Heading 6 Char"/>
    <w:basedOn w:val="DefaultParagraphFont"/>
    <w:rPr>
      <w:rFonts w:ascii="Cambria" w:eastAsia="MS Gothic" w:hAnsi="Cambria" w:cs="Times New Roman"/>
      <w:color w:val="243F60"/>
      <w:sz w:val="24"/>
      <w:szCs w:val="24"/>
    </w:rPr>
  </w:style>
  <w:style w:type="character" w:customStyle="1" w:styleId="Heading7Char">
    <w:name w:val="Heading 7 Char"/>
    <w:basedOn w:val="DefaultParagraphFont"/>
    <w:rPr>
      <w:rFonts w:ascii="Cambria" w:eastAsia="MS Gothic" w:hAnsi="Cambria" w:cs="Times New Roman"/>
      <w:i/>
      <w:iCs/>
      <w:color w:val="243F60"/>
      <w:sz w:val="24"/>
      <w:szCs w:val="24"/>
    </w:rPr>
  </w:style>
  <w:style w:type="character" w:customStyle="1" w:styleId="Heading8Char">
    <w:name w:val="Heading 8 Char"/>
    <w:basedOn w:val="DefaultParagraphFont"/>
    <w:rPr>
      <w:rFonts w:ascii="Cambria" w:eastAsia="MS Gothic" w:hAnsi="Cambria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rPr>
      <w:rFonts w:ascii="Cambria" w:eastAsia="MS Gothic" w:hAnsi="Cambria" w:cs="Times New Roman"/>
      <w:i/>
      <w:iCs/>
      <w:color w:val="272727"/>
      <w:sz w:val="21"/>
      <w:szCs w:val="21"/>
    </w:rPr>
  </w:style>
  <w:style w:type="paragraph" w:styleId="Caption">
    <w:name w:val="caption"/>
    <w:basedOn w:val="Normal"/>
    <w:next w:val="Normal"/>
    <w:rPr>
      <w:i/>
      <w:iCs/>
      <w:color w:val="1F497D"/>
      <w:sz w:val="18"/>
      <w:szCs w:val="18"/>
    </w:rPr>
  </w:style>
  <w:style w:type="character" w:customStyle="1" w:styleId="TitleChar">
    <w:name w:val="Title Char"/>
    <w:basedOn w:val="DefaultParagraphFont"/>
    <w:rPr>
      <w:rFonts w:ascii="Arial" w:eastAsia="MS Gothic" w:hAnsi="Arial" w:cs="Times New Roman"/>
      <w:b/>
      <w:color w:val="4E1965"/>
      <w:spacing w:val="5"/>
      <w:kern w:val="3"/>
      <w:sz w:val="40"/>
      <w:szCs w:val="40"/>
    </w:rPr>
  </w:style>
  <w:style w:type="paragraph" w:styleId="NoSpacing">
    <w:name w:val="No Spacing"/>
    <w:pPr>
      <w:suppressAutoHyphens/>
      <w:spacing w:after="0" w:line="240" w:lineRule="auto"/>
    </w:pPr>
    <w:rPr>
      <w:rFonts w:ascii="Arial" w:hAnsi="Arial"/>
      <w:sz w:val="24"/>
      <w:szCs w:val="24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Quote">
    <w:name w:val="Quote"/>
    <w:basedOn w:val="Normal"/>
    <w:next w:val="Normal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rFonts w:ascii="Arial" w:hAnsi="Arial" w:cs="Arial"/>
      <w:i/>
      <w:iCs/>
      <w:color w:val="404040"/>
      <w:sz w:val="24"/>
      <w:szCs w:val="24"/>
    </w:rPr>
  </w:style>
  <w:style w:type="paragraph" w:styleId="IntenseQuote">
    <w:name w:val="Intense Quote"/>
    <w:basedOn w:val="Normal"/>
    <w:next w:val="Normal"/>
    <w:pPr>
      <w:pBdr>
        <w:top w:val="single" w:sz="4" w:space="10" w:color="4E1965"/>
        <w:bottom w:val="single" w:sz="4" w:space="10" w:color="4E1965"/>
      </w:pBdr>
      <w:spacing w:before="360" w:after="360"/>
      <w:ind w:left="864" w:right="864"/>
      <w:jc w:val="center"/>
    </w:pPr>
    <w:rPr>
      <w:i/>
      <w:iCs/>
      <w:color w:val="4E1965"/>
    </w:rPr>
  </w:style>
  <w:style w:type="character" w:customStyle="1" w:styleId="IntenseQuoteChar">
    <w:name w:val="Intense Quote Char"/>
    <w:basedOn w:val="DefaultParagraphFont"/>
    <w:rPr>
      <w:rFonts w:ascii="Arial" w:hAnsi="Arial" w:cs="Arial"/>
      <w:i/>
      <w:iCs/>
      <w:color w:val="4E1965"/>
      <w:sz w:val="24"/>
      <w:szCs w:val="24"/>
    </w:rPr>
  </w:style>
  <w:style w:type="character" w:styleId="IntenseEmphasis">
    <w:name w:val="Intense Emphasis"/>
    <w:basedOn w:val="DefaultParagraphFont"/>
    <w:rPr>
      <w:i/>
      <w:iCs/>
      <w:color w:val="4E1965"/>
    </w:rPr>
  </w:style>
  <w:style w:type="paragraph" w:styleId="TOCHeading">
    <w:name w:val="TOC Heading"/>
    <w:basedOn w:val="Heading1"/>
    <w:next w:val="Normal"/>
    <w:rPr>
      <w:rFonts w:ascii="Cambria" w:hAnsi="Cambria"/>
      <w:color w:val="365F91"/>
      <w:lang w:eastAsia="ja-JP"/>
    </w:rPr>
  </w:style>
  <w:style w:type="character" w:customStyle="1" w:styleId="HeaderChar">
    <w:name w:val="Header Char"/>
    <w:basedOn w:val="DefaultParagraphFont"/>
    <w:rPr>
      <w:rFonts w:ascii="Arial" w:hAnsi="Arial" w:cs="Arial"/>
      <w:sz w:val="24"/>
      <w:szCs w:val="24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hAnsi="Arial" w:cs="Arial"/>
      <w:b/>
      <w:bCs/>
      <w:sz w:val="20"/>
      <w:szCs w:val="20"/>
    </w:rPr>
  </w:style>
  <w:style w:type="numbering" w:customStyle="1" w:styleId="LFO2">
    <w:name w:val="LFO2"/>
    <w:basedOn w:val="NoList"/>
    <w:pPr>
      <w:numPr>
        <w:numId w:val="1"/>
      </w:numPr>
    </w:pPr>
  </w:style>
  <w:style w:type="numbering" w:customStyle="1" w:styleId="LFO4">
    <w:name w:val="LFO4"/>
    <w:basedOn w:val="NoList"/>
    <w:pPr>
      <w:numPr>
        <w:numId w:val="2"/>
      </w:numPr>
    </w:pPr>
  </w:style>
  <w:style w:type="numbering" w:customStyle="1" w:styleId="LFO6">
    <w:name w:val="LFO6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Alison Margrave</dc:creator>
  <cp:lastModifiedBy>Jonathan Spencer</cp:lastModifiedBy>
  <cp:revision>2</cp:revision>
  <cp:lastPrinted>2023-06-07T07:44:00Z</cp:lastPrinted>
  <dcterms:created xsi:type="dcterms:W3CDTF">2023-06-23T07:39:00Z</dcterms:created>
  <dcterms:modified xsi:type="dcterms:W3CDTF">2023-06-23T07:39:00Z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0x01010070FA452D68FE2C4C857151ED38B1EED93100FE7F722810A8924C9F5E7A3A36E26368</vt:lpwstr>
  </property>
  <property fmtid="{D5CDD505-2E9C-101B-9397-08002B2CF9AE}" pid="3" name="_dlc_DocIdItemGuid">
    <vt:lpwstr>785f1888-7caf-4f58-8c66-fd0862c0986f</vt:lpwstr>
  </property>
  <property fmtid="{D5CDD505-2E9C-101B-9397-08002B2CF9AE}" pid="4" name="MediaServiceImageTags">
    <vt:lpwstr/>
  </property>
</Properties>
</file>